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615B8" w14:textId="490DF5F2" w:rsidR="000B6690" w:rsidRPr="000B6690" w:rsidRDefault="000B6690" w:rsidP="000B6690">
      <w:pPr>
        <w:tabs>
          <w:tab w:val="right" w:pos="9639"/>
        </w:tabs>
        <w:overflowPunct w:val="0"/>
        <w:autoSpaceDE w:val="0"/>
        <w:autoSpaceDN w:val="0"/>
        <w:adjustRightInd w:val="0"/>
        <w:jc w:val="left"/>
        <w:textAlignment w:val="baseline"/>
        <w:rPr>
          <w:rFonts w:ascii="Arial" w:eastAsia="宋体" w:hAnsi="Arial" w:cs="Arial"/>
          <w:b/>
          <w:noProof/>
          <w:kern w:val="0"/>
          <w:sz w:val="24"/>
          <w:szCs w:val="20"/>
        </w:rPr>
      </w:pPr>
      <w:r w:rsidRPr="000B6690">
        <w:rPr>
          <w:rFonts w:ascii="Arial" w:eastAsia="宋体" w:hAnsi="Arial" w:cs="Arial"/>
          <w:b/>
          <w:noProof/>
          <w:kern w:val="0"/>
          <w:sz w:val="24"/>
          <w:szCs w:val="20"/>
        </w:rPr>
        <w:t>3GPP TSG-RAN WG2 Meeting #11</w:t>
      </w:r>
      <w:r w:rsidR="00FE008A">
        <w:rPr>
          <w:rFonts w:ascii="Arial" w:eastAsia="宋体" w:hAnsi="Arial" w:cs="Arial"/>
          <w:b/>
          <w:noProof/>
          <w:kern w:val="0"/>
          <w:sz w:val="24"/>
          <w:szCs w:val="20"/>
        </w:rPr>
        <w:t>9</w:t>
      </w:r>
      <w:r w:rsidRPr="000B6690">
        <w:rPr>
          <w:rFonts w:ascii="Arial" w:eastAsia="宋体" w:hAnsi="Arial" w:cs="Arial"/>
          <w:b/>
          <w:noProof/>
          <w:kern w:val="0"/>
          <w:sz w:val="24"/>
          <w:szCs w:val="20"/>
        </w:rPr>
        <w:t xml:space="preserve"> electronic</w:t>
      </w:r>
      <w:r w:rsidRPr="000B6690">
        <w:rPr>
          <w:rFonts w:ascii="Arial" w:eastAsia="宋体" w:hAnsi="Arial" w:cs="Arial"/>
          <w:b/>
          <w:noProof/>
          <w:kern w:val="0"/>
          <w:sz w:val="24"/>
          <w:szCs w:val="20"/>
        </w:rPr>
        <w:tab/>
      </w:r>
      <w:r w:rsidR="007C7FDE" w:rsidRPr="007C7FDE">
        <w:rPr>
          <w:rFonts w:ascii="Arial" w:eastAsia="宋体" w:hAnsi="Arial" w:cs="Arial"/>
          <w:b/>
          <w:noProof/>
          <w:kern w:val="0"/>
          <w:sz w:val="24"/>
          <w:szCs w:val="20"/>
        </w:rPr>
        <w:t>R2-</w:t>
      </w:r>
      <w:r w:rsidR="00BE3ECD" w:rsidRPr="00BE3ECD">
        <w:t xml:space="preserve"> </w:t>
      </w:r>
      <w:r w:rsidR="006D4F64" w:rsidRPr="006D4F64">
        <w:rPr>
          <w:rFonts w:ascii="Arial" w:eastAsia="宋体" w:hAnsi="Arial" w:cs="Arial"/>
          <w:b/>
          <w:noProof/>
          <w:kern w:val="0"/>
          <w:sz w:val="24"/>
          <w:szCs w:val="20"/>
        </w:rPr>
        <w:t>220</w:t>
      </w:r>
      <w:r w:rsidR="00095BCA">
        <w:rPr>
          <w:rFonts w:ascii="Arial" w:eastAsia="宋体" w:hAnsi="Arial" w:cs="Arial"/>
          <w:b/>
          <w:noProof/>
          <w:kern w:val="0"/>
          <w:sz w:val="24"/>
          <w:szCs w:val="20"/>
        </w:rPr>
        <w:t>7709</w:t>
      </w:r>
    </w:p>
    <w:p w14:paraId="4BF14776" w14:textId="677F01C8" w:rsidR="00AA3FAE" w:rsidRPr="005B2E70" w:rsidRDefault="000B6690" w:rsidP="000B6690">
      <w:pPr>
        <w:tabs>
          <w:tab w:val="right" w:pos="9630"/>
        </w:tabs>
        <w:overflowPunct w:val="0"/>
        <w:autoSpaceDE w:val="0"/>
        <w:autoSpaceDN w:val="0"/>
        <w:adjustRightInd w:val="0"/>
        <w:jc w:val="left"/>
        <w:textAlignment w:val="baseline"/>
        <w:rPr>
          <w:rFonts w:ascii="Arial" w:eastAsia="宋体" w:hAnsi="Arial" w:cs="Arial"/>
          <w:b/>
          <w:noProof/>
          <w:kern w:val="0"/>
          <w:sz w:val="24"/>
          <w:szCs w:val="20"/>
        </w:rPr>
      </w:pPr>
      <w:r w:rsidRPr="005C2CC5">
        <w:rPr>
          <w:rFonts w:ascii="Arial" w:eastAsia="宋体" w:hAnsi="Arial" w:cs="Arial"/>
          <w:b/>
          <w:sz w:val="24"/>
        </w:rPr>
        <w:t xml:space="preserve">Online, </w:t>
      </w:r>
      <w:r w:rsidR="00CC1A0C">
        <w:rPr>
          <w:rFonts w:ascii="Arial" w:eastAsia="宋体" w:hAnsi="Arial" w:cs="Arial"/>
          <w:b/>
          <w:sz w:val="24"/>
        </w:rPr>
        <w:t>1</w:t>
      </w:r>
      <w:r w:rsidR="005039F0">
        <w:rPr>
          <w:rFonts w:ascii="Arial" w:eastAsia="宋体" w:hAnsi="Arial" w:cs="Arial"/>
          <w:b/>
          <w:sz w:val="24"/>
        </w:rPr>
        <w:t>7</w:t>
      </w:r>
      <w:r w:rsidR="005039F0">
        <w:rPr>
          <w:rFonts w:ascii="Arial" w:eastAsia="宋体" w:hAnsi="Arial" w:cs="Arial"/>
          <w:b/>
          <w:sz w:val="24"/>
          <w:vertAlign w:val="superscript"/>
        </w:rPr>
        <w:t>th</w:t>
      </w:r>
      <w:r w:rsidRPr="005C2CC5">
        <w:rPr>
          <w:rFonts w:ascii="Arial" w:eastAsia="宋体" w:hAnsi="Arial" w:cs="Arial"/>
          <w:b/>
          <w:sz w:val="24"/>
        </w:rPr>
        <w:t>–</w:t>
      </w:r>
      <w:r w:rsidR="00817607">
        <w:rPr>
          <w:rFonts w:ascii="Arial" w:eastAsia="宋体" w:hAnsi="Arial" w:cs="Arial"/>
          <w:b/>
          <w:sz w:val="24"/>
        </w:rPr>
        <w:t xml:space="preserve"> </w:t>
      </w:r>
      <w:r w:rsidR="005039F0">
        <w:rPr>
          <w:rFonts w:ascii="Arial" w:eastAsia="宋体" w:hAnsi="Arial" w:cs="Arial"/>
          <w:b/>
          <w:sz w:val="24"/>
        </w:rPr>
        <w:t>29</w:t>
      </w:r>
      <w:r w:rsidR="005039F0">
        <w:rPr>
          <w:rFonts w:ascii="Arial" w:eastAsia="宋体" w:hAnsi="Arial" w:cs="Arial"/>
          <w:b/>
          <w:sz w:val="24"/>
          <w:vertAlign w:val="superscript"/>
        </w:rPr>
        <w:t>th</w:t>
      </w:r>
      <w:r w:rsidR="007E0AA7">
        <w:rPr>
          <w:rFonts w:ascii="Arial" w:eastAsia="宋体" w:hAnsi="Arial" w:cs="Arial"/>
          <w:b/>
          <w:sz w:val="24"/>
          <w:vertAlign w:val="superscript"/>
        </w:rPr>
        <w:t xml:space="preserve"> </w:t>
      </w:r>
      <w:r w:rsidR="005039F0">
        <w:rPr>
          <w:rFonts w:ascii="Arial" w:eastAsia="宋体" w:hAnsi="Arial" w:cs="Arial"/>
          <w:b/>
          <w:sz w:val="24"/>
        </w:rPr>
        <w:t>August</w:t>
      </w:r>
      <w:r w:rsidRPr="005C2CC5">
        <w:rPr>
          <w:rFonts w:ascii="Arial" w:eastAsia="宋体" w:hAnsi="Arial" w:cs="Arial"/>
          <w:b/>
          <w:sz w:val="24"/>
        </w:rPr>
        <w:t xml:space="preserve"> 202</w:t>
      </w:r>
      <w:r w:rsidR="009A2412">
        <w:rPr>
          <w:rFonts w:ascii="Arial" w:eastAsia="宋体" w:hAnsi="Arial" w:cs="Arial"/>
          <w:b/>
          <w:sz w:val="24"/>
        </w:rPr>
        <w:t>2</w:t>
      </w:r>
      <w:r w:rsidR="005B2E70">
        <w:rPr>
          <w:rFonts w:ascii="Arial" w:eastAsia="宋体" w:hAnsi="Arial" w:cs="Arial"/>
          <w:b/>
          <w:noProof/>
          <w:kern w:val="0"/>
          <w:sz w:val="24"/>
          <w:szCs w:val="20"/>
        </w:rPr>
        <w:tab/>
      </w:r>
      <w:r w:rsidR="00AA3FAE" w:rsidRPr="00AA3FAE">
        <w:rPr>
          <w:rFonts w:ascii="Arial" w:eastAsia="宋体" w:hAnsi="Arial" w:cs="黑体"/>
          <w:b/>
          <w:bCs/>
          <w:kern w:val="0"/>
          <w:sz w:val="24"/>
          <w:lang w:val="en-GB"/>
        </w:rPr>
        <w:tab/>
      </w:r>
      <w:r w:rsidR="00AA3FAE" w:rsidRPr="000B09C9">
        <w:rPr>
          <w:rFonts w:ascii="Arial" w:eastAsia="Dotum" w:hAnsi="Arial" w:cs="Times New Roman"/>
          <w:b/>
          <w:bCs/>
          <w:kern w:val="0"/>
          <w:sz w:val="24"/>
          <w:szCs w:val="18"/>
          <w:lang w:val="en-GB"/>
        </w:rPr>
        <w:tab/>
      </w:r>
    </w:p>
    <w:p w14:paraId="0A8C0162" w14:textId="3532C0AC" w:rsidR="006F3844" w:rsidRDefault="006F3844" w:rsidP="006F3844">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bCs/>
          <w:kern w:val="0"/>
          <w:sz w:val="22"/>
          <w:szCs w:val="20"/>
          <w:lang w:val="en-GB"/>
        </w:rPr>
      </w:pPr>
      <w:r w:rsidRPr="00733434">
        <w:rPr>
          <w:rFonts w:ascii="Arial" w:eastAsia="宋体" w:hAnsi="Arial" w:cs="Times New Roman"/>
          <w:b/>
          <w:bCs/>
          <w:kern w:val="0"/>
          <w:sz w:val="22"/>
          <w:szCs w:val="20"/>
          <w:lang w:val="en-GB"/>
        </w:rPr>
        <w:t>Agenda Item:</w:t>
      </w:r>
      <w:r w:rsidRPr="00733434">
        <w:rPr>
          <w:rFonts w:ascii="Arial" w:eastAsia="宋体" w:hAnsi="Arial" w:cs="Times New Roman"/>
          <w:b/>
          <w:bCs/>
          <w:kern w:val="0"/>
          <w:sz w:val="22"/>
          <w:szCs w:val="20"/>
          <w:lang w:val="en-GB"/>
        </w:rPr>
        <w:tab/>
      </w:r>
      <w:r w:rsidRPr="000B09C9">
        <w:rPr>
          <w:rFonts w:ascii="Arial" w:eastAsia="宋体" w:hAnsi="Arial" w:cs="Times New Roman"/>
          <w:b/>
          <w:bCs/>
          <w:kern w:val="0"/>
          <w:sz w:val="22"/>
          <w:szCs w:val="20"/>
          <w:lang w:val="en-GB"/>
        </w:rPr>
        <w:t>8.</w:t>
      </w:r>
      <w:r w:rsidR="005039F0">
        <w:rPr>
          <w:rFonts w:ascii="Arial" w:eastAsia="宋体" w:hAnsi="Arial" w:cs="Times New Roman"/>
          <w:b/>
          <w:bCs/>
          <w:kern w:val="0"/>
          <w:sz w:val="22"/>
          <w:szCs w:val="20"/>
          <w:lang w:val="en-GB"/>
        </w:rPr>
        <w:t>12</w:t>
      </w:r>
      <w:r w:rsidR="00175A07">
        <w:rPr>
          <w:rFonts w:ascii="Arial" w:eastAsia="宋体" w:hAnsi="Arial" w:cs="Times New Roman"/>
          <w:b/>
          <w:bCs/>
          <w:kern w:val="0"/>
          <w:sz w:val="22"/>
          <w:szCs w:val="20"/>
          <w:lang w:val="en-GB"/>
        </w:rPr>
        <w:t>.</w:t>
      </w:r>
      <w:r w:rsidR="00AA5BAF">
        <w:rPr>
          <w:rFonts w:ascii="Arial" w:eastAsia="宋体" w:hAnsi="Arial" w:cs="Times New Roman"/>
          <w:b/>
          <w:bCs/>
          <w:kern w:val="0"/>
          <w:sz w:val="22"/>
          <w:szCs w:val="20"/>
          <w:lang w:val="en-GB"/>
        </w:rPr>
        <w:t>3</w:t>
      </w:r>
    </w:p>
    <w:p w14:paraId="3A7B9F35" w14:textId="565143AE" w:rsidR="00AA3FAE" w:rsidRPr="000B09C9"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bCs/>
          <w:kern w:val="0"/>
          <w:sz w:val="22"/>
          <w:szCs w:val="20"/>
          <w:lang w:val="en-GB"/>
        </w:rPr>
      </w:pPr>
      <w:r w:rsidRPr="00733434">
        <w:rPr>
          <w:rFonts w:ascii="Arial" w:eastAsia="宋体" w:hAnsi="Arial" w:cs="Times New Roman"/>
          <w:b/>
          <w:bCs/>
          <w:kern w:val="0"/>
          <w:sz w:val="22"/>
          <w:szCs w:val="20"/>
          <w:lang w:val="en-GB"/>
        </w:rPr>
        <w:t xml:space="preserve">Source: </w:t>
      </w:r>
      <w:r w:rsidRPr="00733434">
        <w:rPr>
          <w:rFonts w:ascii="Arial" w:eastAsia="宋体" w:hAnsi="Arial" w:cs="Times New Roman"/>
          <w:b/>
          <w:bCs/>
          <w:kern w:val="0"/>
          <w:sz w:val="22"/>
          <w:szCs w:val="20"/>
          <w:lang w:val="en-GB"/>
        </w:rPr>
        <w:tab/>
      </w:r>
      <w:r w:rsidRPr="000B09C9">
        <w:rPr>
          <w:rFonts w:ascii="Arial" w:eastAsia="宋体" w:hAnsi="Arial" w:cs="Times New Roman"/>
          <w:b/>
          <w:bCs/>
          <w:kern w:val="0"/>
          <w:sz w:val="22"/>
          <w:szCs w:val="20"/>
          <w:lang w:val="en-GB"/>
        </w:rPr>
        <w:t>Lenovo</w:t>
      </w:r>
    </w:p>
    <w:p w14:paraId="396CAC10" w14:textId="1E99E850" w:rsidR="006F3844" w:rsidRPr="006F3844" w:rsidRDefault="006F3844" w:rsidP="006F3844">
      <w:pPr>
        <w:widowControl/>
        <w:tabs>
          <w:tab w:val="left" w:pos="1701"/>
          <w:tab w:val="right" w:pos="9639"/>
        </w:tabs>
        <w:overflowPunct w:val="0"/>
        <w:autoSpaceDE w:val="0"/>
        <w:autoSpaceDN w:val="0"/>
        <w:adjustRightInd w:val="0"/>
        <w:spacing w:after="240"/>
        <w:ind w:left="3865" w:hangingChars="1750" w:hanging="3865"/>
        <w:textAlignment w:val="baseline"/>
        <w:rPr>
          <w:rFonts w:ascii="Arial" w:hAnsi="Arial" w:cs="Times New Roman"/>
          <w:b/>
          <w:bCs/>
          <w:kern w:val="0"/>
          <w:sz w:val="22"/>
          <w:szCs w:val="20"/>
          <w:lang w:val="en-GB"/>
        </w:rPr>
      </w:pPr>
      <w:r w:rsidRPr="00733434">
        <w:rPr>
          <w:rFonts w:ascii="Arial" w:eastAsia="宋体" w:hAnsi="Arial" w:cs="Times New Roman"/>
          <w:b/>
          <w:bCs/>
          <w:kern w:val="0"/>
          <w:sz w:val="22"/>
          <w:szCs w:val="20"/>
          <w:lang w:val="en-GB"/>
        </w:rPr>
        <w:t xml:space="preserve">Title: </w:t>
      </w:r>
      <w:r w:rsidRPr="00733434">
        <w:rPr>
          <w:rFonts w:ascii="Arial" w:eastAsia="宋体" w:hAnsi="Arial" w:cs="Times New Roman"/>
          <w:b/>
          <w:bCs/>
          <w:kern w:val="0"/>
          <w:sz w:val="22"/>
          <w:szCs w:val="20"/>
          <w:lang w:val="en-GB"/>
        </w:rPr>
        <w:tab/>
      </w:r>
      <w:r w:rsidR="00A96D24" w:rsidRPr="00A96D24">
        <w:rPr>
          <w:rFonts w:ascii="Arial" w:eastAsia="宋体" w:hAnsi="Arial" w:cs="Times New Roman"/>
          <w:b/>
          <w:bCs/>
          <w:kern w:val="0"/>
          <w:sz w:val="22"/>
          <w:szCs w:val="20"/>
          <w:lang w:val="en-GB"/>
        </w:rPr>
        <w:t>Discussion on inter-donor full migration of mobile IAB</w:t>
      </w:r>
    </w:p>
    <w:p w14:paraId="586F74AD" w14:textId="77777777" w:rsidR="00AA3FAE" w:rsidRPr="000B09C9"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bCs/>
          <w:kern w:val="0"/>
          <w:sz w:val="22"/>
          <w:szCs w:val="20"/>
          <w:lang w:val="en-GB"/>
        </w:rPr>
      </w:pPr>
      <w:r w:rsidRPr="00733434">
        <w:rPr>
          <w:rFonts w:ascii="Arial" w:eastAsia="宋体" w:hAnsi="Arial" w:cs="Times New Roman"/>
          <w:b/>
          <w:bCs/>
          <w:kern w:val="0"/>
          <w:sz w:val="22"/>
          <w:szCs w:val="20"/>
          <w:lang w:val="en-GB"/>
        </w:rPr>
        <w:t>Document for:</w:t>
      </w:r>
      <w:r w:rsidRPr="00733434">
        <w:rPr>
          <w:rFonts w:ascii="Arial" w:eastAsia="宋体" w:hAnsi="Arial" w:cs="Times New Roman"/>
          <w:b/>
          <w:bCs/>
          <w:kern w:val="0"/>
          <w:sz w:val="22"/>
          <w:szCs w:val="20"/>
          <w:lang w:val="en-GB"/>
        </w:rPr>
        <w:tab/>
      </w:r>
      <w:r w:rsidRPr="000B09C9">
        <w:rPr>
          <w:rFonts w:ascii="Arial" w:eastAsia="宋体" w:hAnsi="Arial" w:cs="Times New Roman"/>
          <w:b/>
          <w:bCs/>
          <w:kern w:val="0"/>
          <w:sz w:val="22"/>
          <w:szCs w:val="20"/>
          <w:lang w:val="en-GB"/>
        </w:rPr>
        <w:t>Discussion and decision</w:t>
      </w:r>
    </w:p>
    <w:p w14:paraId="46DBFDB8" w14:textId="10C31FE6" w:rsidR="00AA3FAE" w:rsidRPr="000D2B2B" w:rsidRDefault="00AA3FAE" w:rsidP="000D2B2B">
      <w:pPr>
        <w:pStyle w:val="ac"/>
        <w:keepNext/>
        <w:keepLines/>
        <w:widowControl/>
        <w:numPr>
          <w:ilvl w:val="0"/>
          <w:numId w:val="5"/>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0D2B2B">
        <w:rPr>
          <w:rFonts w:ascii="Arial" w:eastAsia="Dotum" w:hAnsi="Arial" w:cs="Times New Roman"/>
          <w:kern w:val="0"/>
          <w:sz w:val="36"/>
          <w:szCs w:val="36"/>
          <w:lang w:val="en-GB"/>
        </w:rPr>
        <w:t>Introduction</w:t>
      </w:r>
      <w:bookmarkStart w:id="0" w:name="_Ref174151459"/>
      <w:bookmarkStart w:id="1" w:name="_Ref189809556"/>
    </w:p>
    <w:p w14:paraId="0B56E0A4" w14:textId="77777777" w:rsidR="00A61DF4" w:rsidRDefault="00A61DF4" w:rsidP="00A61DF4">
      <w:pPr>
        <w:widowControl/>
        <w:overflowPunct w:val="0"/>
        <w:autoSpaceDE w:val="0"/>
        <w:autoSpaceDN w:val="0"/>
        <w:adjustRightInd w:val="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A new WID for mobile IAB-node [1] has been approved to be discussed in Rel-18, and following detail objectives are identified mainly focus on RAN3 and RAN2.</w:t>
      </w:r>
    </w:p>
    <w:tbl>
      <w:tblPr>
        <w:tblpPr w:leftFromText="180" w:rightFromText="180" w:vertAnchor="text" w:tblpX="11" w:tblpY="171"/>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0"/>
      </w:tblGrid>
      <w:tr w:rsidR="00A61DF4" w14:paraId="059CB986" w14:textId="77777777" w:rsidTr="00F32368">
        <w:trPr>
          <w:trHeight w:val="1266"/>
        </w:trPr>
        <w:tc>
          <w:tcPr>
            <w:tcW w:w="9670" w:type="dxa"/>
          </w:tcPr>
          <w:p w14:paraId="3B9344A3" w14:textId="77777777" w:rsidR="00A61DF4" w:rsidRPr="001139CF" w:rsidRDefault="00A61DF4" w:rsidP="00F32368">
            <w:pPr>
              <w:widowControl/>
              <w:numPr>
                <w:ilvl w:val="0"/>
                <w:numId w:val="16"/>
              </w:numPr>
              <w:overflowPunct w:val="0"/>
              <w:autoSpaceDE w:val="0"/>
              <w:autoSpaceDN w:val="0"/>
              <w:adjustRightInd w:val="0"/>
              <w:spacing w:before="60" w:after="60"/>
              <w:jc w:val="left"/>
              <w:textAlignment w:val="baseline"/>
              <w:rPr>
                <w:rFonts w:ascii="Calibri" w:eastAsia="Times New Roman" w:hAnsi="Calibri" w:cs="Times New Roman"/>
                <w:kern w:val="0"/>
                <w:sz w:val="22"/>
                <w:lang w:eastAsia="en-US"/>
              </w:rPr>
            </w:pPr>
            <w:r w:rsidRPr="001139CF">
              <w:rPr>
                <w:rFonts w:ascii="Calibri" w:eastAsia="Times New Roman" w:hAnsi="Calibri" w:cs="Times New Roman"/>
                <w:kern w:val="0"/>
                <w:sz w:val="22"/>
                <w:lang w:eastAsia="en-US"/>
              </w:rPr>
              <w:t>Define Procedures for migration/topology adaptation to enable IAB-node mobility, including inter-donor migration of the entire mobile IAB-node (full migration) [RAN3, RAN2]</w:t>
            </w:r>
          </w:p>
          <w:p w14:paraId="1BBCE9AC" w14:textId="77777777" w:rsidR="00A61DF4" w:rsidRPr="001139CF" w:rsidRDefault="00A61DF4" w:rsidP="00F32368">
            <w:pPr>
              <w:widowControl/>
              <w:numPr>
                <w:ilvl w:val="0"/>
                <w:numId w:val="16"/>
              </w:numPr>
              <w:overflowPunct w:val="0"/>
              <w:autoSpaceDE w:val="0"/>
              <w:autoSpaceDN w:val="0"/>
              <w:adjustRightInd w:val="0"/>
              <w:spacing w:before="60" w:after="60"/>
              <w:jc w:val="left"/>
              <w:textAlignment w:val="baseline"/>
              <w:rPr>
                <w:rFonts w:ascii="Calibri" w:eastAsia="Times New Roman" w:hAnsi="Calibri" w:cs="Times New Roman"/>
                <w:kern w:val="0"/>
                <w:sz w:val="22"/>
                <w:lang w:eastAsia="en-US"/>
              </w:rPr>
            </w:pPr>
            <w:r w:rsidRPr="001139CF">
              <w:rPr>
                <w:rFonts w:ascii="Calibri" w:eastAsia="Times New Roman" w:hAnsi="Calibri" w:cs="Times New Roman"/>
                <w:kern w:val="0"/>
                <w:sz w:val="22"/>
                <w:lang w:eastAsia="en-US"/>
              </w:rPr>
              <w:t xml:space="preserve">Enhancements for mobility of an IAB-node together with its served UEs, including </w:t>
            </w:r>
            <w:bookmarkStart w:id="2" w:name="OLE_LINK3"/>
            <w:r w:rsidRPr="001139CF">
              <w:rPr>
                <w:rFonts w:ascii="Calibri" w:eastAsia="Times New Roman" w:hAnsi="Calibri" w:cs="Times New Roman"/>
                <w:kern w:val="0"/>
                <w:sz w:val="22"/>
                <w:lang w:eastAsia="en-US"/>
              </w:rPr>
              <w:t>aspects related to group mobility</w:t>
            </w:r>
            <w:bookmarkEnd w:id="2"/>
            <w:r w:rsidRPr="001139CF">
              <w:rPr>
                <w:rFonts w:ascii="Calibri" w:eastAsia="Times New Roman" w:hAnsi="Calibri" w:cs="Times New Roman"/>
                <w:kern w:val="0"/>
                <w:sz w:val="22"/>
                <w:lang w:eastAsia="en-US"/>
              </w:rPr>
              <w:t>. No optimizations for the targeting of surrounding UEs. [RAN3, RAN2]</w:t>
            </w:r>
          </w:p>
          <w:p w14:paraId="395D37C3" w14:textId="77777777" w:rsidR="00A61DF4" w:rsidRPr="001139CF" w:rsidRDefault="00A61DF4" w:rsidP="00F32368">
            <w:pPr>
              <w:widowControl/>
              <w:spacing w:before="60" w:after="60"/>
              <w:ind w:left="720"/>
              <w:rPr>
                <w:rFonts w:ascii="Calibri" w:eastAsia="Times New Roman" w:hAnsi="Calibri" w:cs="Times New Roman"/>
                <w:i/>
                <w:iCs/>
                <w:kern w:val="0"/>
                <w:sz w:val="22"/>
                <w:lang w:eastAsia="en-US"/>
              </w:rPr>
            </w:pPr>
            <w:r w:rsidRPr="001139CF">
              <w:rPr>
                <w:rFonts w:ascii="Calibri" w:eastAsia="Times New Roman" w:hAnsi="Calibri" w:cs="Times New Roman"/>
                <w:i/>
                <w:iCs/>
                <w:kern w:val="0"/>
                <w:sz w:val="22"/>
                <w:lang w:eastAsia="en-US"/>
              </w:rPr>
              <w:t>Note: Solutions should avoid touching upon topics where Rel-17 discussions already occurred and where the topic was excluded from Rel-17, except for enhancements that are specific to IAB-node mobility.</w:t>
            </w:r>
          </w:p>
          <w:p w14:paraId="48310A3B" w14:textId="77777777" w:rsidR="00A61DF4" w:rsidRDefault="00A61DF4" w:rsidP="00F32368">
            <w:pPr>
              <w:widowControl/>
              <w:numPr>
                <w:ilvl w:val="0"/>
                <w:numId w:val="16"/>
              </w:numPr>
              <w:overflowPunct w:val="0"/>
              <w:autoSpaceDE w:val="0"/>
              <w:autoSpaceDN w:val="0"/>
              <w:adjustRightInd w:val="0"/>
              <w:spacing w:before="60" w:after="60"/>
              <w:jc w:val="left"/>
              <w:textAlignment w:val="baseline"/>
              <w:rPr>
                <w:rFonts w:ascii="Calibri" w:eastAsia="Times New Roman" w:hAnsi="Calibri" w:cs="Times New Roman"/>
                <w:kern w:val="0"/>
                <w:sz w:val="22"/>
                <w:lang w:eastAsia="en-US"/>
              </w:rPr>
            </w:pPr>
            <w:r w:rsidRPr="001139CF">
              <w:rPr>
                <w:rFonts w:ascii="Calibri" w:eastAsia="Times New Roman" w:hAnsi="Calibri" w:cs="Times New Roman"/>
                <w:kern w:val="0"/>
                <w:sz w:val="22"/>
                <w:lang w:eastAsia="en-US"/>
              </w:rPr>
              <w:t>Mitigation of interference due to IAB-node mobility, including the avoidance of potential reference and control signal collisions (e.g. PCI, RACH). [RAN3, RAN2]</w:t>
            </w:r>
          </w:p>
          <w:p w14:paraId="1C6263D6" w14:textId="77777777" w:rsidR="00A61DF4" w:rsidRPr="00732338" w:rsidRDefault="00A61DF4" w:rsidP="00F32368">
            <w:pPr>
              <w:rPr>
                <w:lang w:val="en-GB" w:eastAsia="en-GB"/>
              </w:rPr>
            </w:pPr>
            <w:r w:rsidRPr="00EF5733">
              <w:rPr>
                <w:rFonts w:ascii="Calibri" w:eastAsia="Times New Roman" w:hAnsi="Calibri" w:cs="Times New Roman"/>
                <w:kern w:val="0"/>
                <w:sz w:val="22"/>
                <w:lang w:eastAsia="en-US"/>
              </w:rPr>
              <w:t>Note: At the beginning of the work period, RAN3, RAN2 should discuss the potential complexity of a scenario where a mobile IAB node connects to a stationary (intermediate) IAB node, with respect to the scenario where a mobile IAB node connects directly to an IAB-donor.</w:t>
            </w:r>
          </w:p>
        </w:tc>
      </w:tr>
    </w:tbl>
    <w:p w14:paraId="0B940363" w14:textId="71EC2156" w:rsidR="00A61DF4" w:rsidRDefault="00A61DF4" w:rsidP="00A61DF4">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this contribution, enhancement for </w:t>
      </w:r>
      <w:bookmarkStart w:id="3" w:name="OLE_LINK8"/>
      <w:r>
        <w:rPr>
          <w:rFonts w:ascii="Times New Roman" w:eastAsia="宋体" w:hAnsi="Times New Roman" w:cs="Times New Roman"/>
          <w:kern w:val="0"/>
          <w:sz w:val="20"/>
          <w:szCs w:val="20"/>
        </w:rPr>
        <w:t>mobile IAB-node mobility</w:t>
      </w:r>
      <w:bookmarkEnd w:id="3"/>
      <w:r>
        <w:rPr>
          <w:rFonts w:ascii="Times New Roman" w:eastAsia="宋体" w:hAnsi="Times New Roman" w:cs="Times New Roman"/>
          <w:kern w:val="0"/>
          <w:sz w:val="20"/>
          <w:szCs w:val="20"/>
        </w:rPr>
        <w:t xml:space="preserve"> is discussed, including </w:t>
      </w:r>
      <w:r w:rsidRPr="006E5566">
        <w:rPr>
          <w:rFonts w:ascii="Times New Roman" w:eastAsia="宋体" w:hAnsi="Times New Roman" w:cs="Times New Roman"/>
          <w:kern w:val="0"/>
          <w:sz w:val="20"/>
          <w:szCs w:val="20"/>
        </w:rPr>
        <w:t xml:space="preserve">aspects related to </w:t>
      </w:r>
      <w:r w:rsidR="005D39F4">
        <w:rPr>
          <w:rFonts w:ascii="Times New Roman" w:eastAsia="宋体" w:hAnsi="Times New Roman" w:cs="Times New Roman"/>
          <w:kern w:val="0"/>
          <w:sz w:val="20"/>
          <w:szCs w:val="20"/>
        </w:rPr>
        <w:t>procedure of inter-donor full migration and interference mitigation due to mobile IAB-node mobility</w:t>
      </w:r>
      <w:r>
        <w:rPr>
          <w:rFonts w:ascii="Times New Roman" w:eastAsia="宋体" w:hAnsi="Times New Roman" w:cs="Times New Roman"/>
          <w:kern w:val="0"/>
          <w:sz w:val="20"/>
          <w:szCs w:val="20"/>
        </w:rPr>
        <w:t>.</w:t>
      </w:r>
      <w:r w:rsidR="005D39F4">
        <w:rPr>
          <w:rFonts w:ascii="Times New Roman" w:eastAsia="宋体" w:hAnsi="Times New Roman" w:cs="Times New Roman"/>
          <w:kern w:val="0"/>
          <w:sz w:val="20"/>
          <w:szCs w:val="20"/>
        </w:rPr>
        <w:t xml:space="preserve"> </w:t>
      </w:r>
    </w:p>
    <w:p w14:paraId="47F0D14A" w14:textId="270B1293" w:rsidR="00AA3FAE" w:rsidRPr="001119CE" w:rsidRDefault="00AA3FAE" w:rsidP="001119CE">
      <w:pPr>
        <w:pStyle w:val="ac"/>
        <w:keepNext/>
        <w:keepLines/>
        <w:widowControl/>
        <w:numPr>
          <w:ilvl w:val="0"/>
          <w:numId w:val="5"/>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1119CE">
        <w:rPr>
          <w:rFonts w:ascii="Arial" w:eastAsia="宋体" w:hAnsi="Arial" w:cs="Times New Roman"/>
          <w:kern w:val="0"/>
          <w:sz w:val="36"/>
          <w:szCs w:val="36"/>
          <w:lang w:val="en-GB"/>
        </w:rPr>
        <w:t>Discussion</w:t>
      </w:r>
    </w:p>
    <w:p w14:paraId="483FD7BF" w14:textId="384D93A6" w:rsidR="002561B6" w:rsidRPr="002561B6" w:rsidRDefault="002561B6" w:rsidP="002561B6">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2"/>
          <w:u w:val="single"/>
        </w:rPr>
      </w:pPr>
      <w:r>
        <w:rPr>
          <w:rFonts w:ascii="Times New Roman" w:eastAsia="宋体" w:hAnsi="Times New Roman" w:cs="Times New Roman"/>
          <w:b/>
          <w:bCs/>
          <w:kern w:val="0"/>
          <w:sz w:val="22"/>
          <w:u w:val="single"/>
        </w:rPr>
        <w:t>M</w:t>
      </w:r>
      <w:r w:rsidRPr="002561B6">
        <w:rPr>
          <w:rFonts w:ascii="Times New Roman" w:eastAsia="宋体" w:hAnsi="Times New Roman" w:cs="Times New Roman"/>
          <w:b/>
          <w:bCs/>
          <w:kern w:val="0"/>
          <w:sz w:val="22"/>
          <w:u w:val="single"/>
        </w:rPr>
        <w:t>ulti-hop backhauling for mobile IAB</w:t>
      </w:r>
    </w:p>
    <w:p w14:paraId="438E7849" w14:textId="77777777" w:rsidR="002561B6" w:rsidRDefault="002561B6" w:rsidP="002561B6">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T</w:t>
      </w:r>
      <w:r>
        <w:rPr>
          <w:rFonts w:ascii="Times New Roman" w:eastAsia="宋体" w:hAnsi="Times New Roman" w:cs="Times New Roman"/>
          <w:kern w:val="0"/>
          <w:sz w:val="20"/>
          <w:szCs w:val="20"/>
        </w:rPr>
        <w:t>o simplify the complexity of mobile IAB-node topology, it’s explicitly defined in the WID [1] that a</w:t>
      </w:r>
      <w:r w:rsidRPr="007A2F3F">
        <w:rPr>
          <w:rFonts w:ascii="Times New Roman" w:eastAsia="宋体" w:hAnsi="Times New Roman" w:cs="Times New Roman"/>
          <w:kern w:val="0"/>
          <w:sz w:val="20"/>
          <w:szCs w:val="20"/>
        </w:rPr>
        <w:t xml:space="preserve"> mobile IAB-node should have no descendent IAB-nodes, i.e., it serves only UEs.</w:t>
      </w:r>
      <w:r>
        <w:rPr>
          <w:rFonts w:ascii="Times New Roman" w:eastAsia="宋体" w:hAnsi="Times New Roman" w:cs="Times New Roman"/>
          <w:kern w:val="0"/>
          <w:sz w:val="20"/>
          <w:szCs w:val="20"/>
        </w:rPr>
        <w:t xml:space="preserve"> In this scenario, the time for full migration of the mobile IAB-node will be </w:t>
      </w:r>
      <w:r w:rsidRPr="00057331">
        <w:rPr>
          <w:rFonts w:ascii="Times New Roman" w:eastAsia="宋体" w:hAnsi="Times New Roman" w:cs="Times New Roman"/>
          <w:kern w:val="0"/>
          <w:sz w:val="20"/>
          <w:szCs w:val="20"/>
        </w:rPr>
        <w:t>dramatic</w:t>
      </w:r>
      <w:r>
        <w:rPr>
          <w:rFonts w:ascii="Times New Roman" w:eastAsia="宋体" w:hAnsi="Times New Roman" w:cs="Times New Roman"/>
          <w:kern w:val="0"/>
          <w:sz w:val="20"/>
          <w:szCs w:val="20"/>
        </w:rPr>
        <w:t>ally</w:t>
      </w:r>
      <w:r w:rsidRPr="00057331">
        <w:rPr>
          <w:rFonts w:ascii="Times New Roman" w:eastAsia="宋体" w:hAnsi="Times New Roman" w:cs="Times New Roman"/>
          <w:kern w:val="0"/>
          <w:sz w:val="20"/>
          <w:szCs w:val="20"/>
        </w:rPr>
        <w:t xml:space="preserve"> decline</w:t>
      </w:r>
      <w:r>
        <w:rPr>
          <w:rFonts w:ascii="Times New Roman" w:eastAsia="宋体" w:hAnsi="Times New Roman" w:cs="Times New Roman"/>
          <w:kern w:val="0"/>
          <w:sz w:val="20"/>
          <w:szCs w:val="20"/>
        </w:rPr>
        <w:t xml:space="preserve">d and the potential interference due to mobility of the descendant nodes can be also avoided. </w:t>
      </w:r>
    </w:p>
    <w:tbl>
      <w:tblPr>
        <w:tblW w:w="970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0"/>
      </w:tblGrid>
      <w:tr w:rsidR="002561B6" w14:paraId="7D7AC830" w14:textId="77777777" w:rsidTr="00F32368">
        <w:trPr>
          <w:trHeight w:val="620"/>
        </w:trPr>
        <w:tc>
          <w:tcPr>
            <w:tcW w:w="9700" w:type="dxa"/>
          </w:tcPr>
          <w:p w14:paraId="4BA95D90" w14:textId="77777777" w:rsidR="002561B6" w:rsidRPr="00E65438" w:rsidRDefault="002561B6" w:rsidP="00F32368">
            <w:pPr>
              <w:widowControl/>
              <w:spacing w:before="60" w:after="60"/>
              <w:rPr>
                <w:rFonts w:ascii="Calibri" w:eastAsia="Times New Roman" w:hAnsi="Calibri" w:cs="Times New Roman"/>
                <w:kern w:val="0"/>
                <w:sz w:val="22"/>
                <w:lang w:eastAsia="en-US"/>
              </w:rPr>
            </w:pPr>
            <w:r w:rsidRPr="00E65438">
              <w:rPr>
                <w:rFonts w:ascii="Calibri" w:eastAsia="Times New Roman" w:hAnsi="Calibri" w:cs="Times New Roman"/>
                <w:kern w:val="0"/>
                <w:sz w:val="22"/>
                <w:lang w:eastAsia="en-US"/>
              </w:rPr>
              <w:t>In Rel-18, mobile IAB supports the following functionality, applicable to FR1 and FR2:</w:t>
            </w:r>
          </w:p>
          <w:p w14:paraId="3B773D5F" w14:textId="77777777" w:rsidR="002561B6" w:rsidRPr="00E65438" w:rsidRDefault="002561B6" w:rsidP="002561B6">
            <w:pPr>
              <w:widowControl/>
              <w:numPr>
                <w:ilvl w:val="0"/>
                <w:numId w:val="17"/>
              </w:numPr>
              <w:overflowPunct w:val="0"/>
              <w:autoSpaceDE w:val="0"/>
              <w:autoSpaceDN w:val="0"/>
              <w:adjustRightInd w:val="0"/>
              <w:spacing w:before="60" w:after="60"/>
              <w:jc w:val="left"/>
              <w:textAlignment w:val="baseline"/>
              <w:rPr>
                <w:rFonts w:ascii="Calibri" w:eastAsia="Times New Roman" w:hAnsi="Calibri" w:cs="Times New Roman"/>
                <w:kern w:val="0"/>
                <w:sz w:val="22"/>
                <w:lang w:eastAsia="en-US"/>
              </w:rPr>
            </w:pPr>
            <w:r w:rsidRPr="00E65438">
              <w:rPr>
                <w:rFonts w:ascii="Calibri" w:eastAsia="Times New Roman" w:hAnsi="Calibri" w:cs="Times New Roman"/>
                <w:kern w:val="0"/>
                <w:sz w:val="22"/>
                <w:lang w:eastAsia="en-US"/>
              </w:rPr>
              <w:t>In-band and out-of-band backhauling.</w:t>
            </w:r>
          </w:p>
          <w:p w14:paraId="687A3A1B" w14:textId="77777777" w:rsidR="002561B6" w:rsidRPr="00E65438" w:rsidRDefault="002561B6" w:rsidP="002561B6">
            <w:pPr>
              <w:widowControl/>
              <w:numPr>
                <w:ilvl w:val="0"/>
                <w:numId w:val="17"/>
              </w:numPr>
              <w:overflowPunct w:val="0"/>
              <w:autoSpaceDE w:val="0"/>
              <w:autoSpaceDN w:val="0"/>
              <w:adjustRightInd w:val="0"/>
              <w:spacing w:before="60" w:after="60"/>
              <w:jc w:val="left"/>
              <w:textAlignment w:val="baseline"/>
              <w:rPr>
                <w:rFonts w:ascii="Calibri" w:eastAsia="Times New Roman" w:hAnsi="Calibri" w:cs="Times New Roman"/>
                <w:kern w:val="0"/>
                <w:sz w:val="22"/>
                <w:u w:val="single"/>
                <w:lang w:eastAsia="en-US"/>
              </w:rPr>
            </w:pPr>
            <w:r w:rsidRPr="00E65438">
              <w:rPr>
                <w:rFonts w:ascii="Calibri" w:eastAsia="Times New Roman" w:hAnsi="Calibri" w:cs="Times New Roman"/>
                <w:kern w:val="0"/>
                <w:sz w:val="22"/>
                <w:u w:val="single"/>
                <w:lang w:eastAsia="en-US"/>
              </w:rPr>
              <w:t>The mobile IAB-node should have no descendent IAB-nodes, i.e., it serves only UEs.</w:t>
            </w:r>
          </w:p>
          <w:p w14:paraId="3413FA6C" w14:textId="77777777" w:rsidR="002561B6" w:rsidRPr="00E65438" w:rsidRDefault="002561B6" w:rsidP="002561B6">
            <w:pPr>
              <w:widowControl/>
              <w:numPr>
                <w:ilvl w:val="0"/>
                <w:numId w:val="17"/>
              </w:numPr>
              <w:overflowPunct w:val="0"/>
              <w:autoSpaceDE w:val="0"/>
              <w:autoSpaceDN w:val="0"/>
              <w:adjustRightInd w:val="0"/>
              <w:spacing w:before="60" w:after="60"/>
              <w:jc w:val="left"/>
              <w:textAlignment w:val="baseline"/>
              <w:rPr>
                <w:rFonts w:ascii="Calibri" w:eastAsia="Times New Roman" w:hAnsi="Calibri" w:cs="Times New Roman"/>
                <w:kern w:val="0"/>
                <w:sz w:val="22"/>
                <w:lang w:eastAsia="en-US"/>
              </w:rPr>
            </w:pPr>
            <w:r w:rsidRPr="00E65438">
              <w:rPr>
                <w:rFonts w:ascii="Calibri" w:eastAsia="Times New Roman" w:hAnsi="Calibri" w:cs="Times New Roman"/>
                <w:kern w:val="0"/>
                <w:sz w:val="22"/>
                <w:lang w:eastAsia="en-US"/>
              </w:rPr>
              <w:t>Solutions should support UE HO and DC.</w:t>
            </w:r>
          </w:p>
        </w:tc>
      </w:tr>
    </w:tbl>
    <w:p w14:paraId="6A5EDA29" w14:textId="77777777" w:rsidR="002561B6" w:rsidRDefault="002561B6" w:rsidP="002561B6">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As for the parent node of mobile IAB-node, as clarified in the Note, RAN3 and RAN2 should discuss at the beginning whether a mobile IAB-node can connect to a stationary intermediate IAB-node, or it can only connect directly to an IAB-donor.</w:t>
      </w:r>
    </w:p>
    <w:p w14:paraId="53E4597E" w14:textId="77777777" w:rsidR="002561B6" w:rsidRDefault="002561B6" w:rsidP="002561B6">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s shown in Figure 1, stationary IAB-node1 may perform partial migration from IAB-donor-CU1 to IAB-donor-CU2 and mobile IAB-node is a child node of the stationary IAB-node1. After the partial migration of IAB-node1, the F1 connection of mobile IAB-DU and RRC connection of mobile IAB-MT still terminate at the source IAB-donor-CU1. Then, the mobile IAB-node may perform partial or full migration from IAB-donor-CU1 to IAB-donor-CU3.</w:t>
      </w:r>
    </w:p>
    <w:p w14:paraId="7A4A279D" w14:textId="37E98B7F" w:rsidR="002561B6" w:rsidRDefault="001A344D" w:rsidP="001A344D">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object w:dxaOrig="13951" w:dyaOrig="4560" w14:anchorId="6D3C76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152.5pt" o:ole="">
            <v:imagedata r:id="rId8" o:title=""/>
          </v:shape>
          <o:OLEObject Type="Embed" ProgID="Visio.Drawing.15" ShapeID="_x0000_i1025" DrawAspect="Content" ObjectID="_1721568794" r:id="rId9"/>
        </w:object>
      </w:r>
    </w:p>
    <w:p w14:paraId="09DEA102" w14:textId="77777777" w:rsidR="002561B6" w:rsidRPr="00FC36AD" w:rsidRDefault="002561B6" w:rsidP="002561B6">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sidRPr="001C3355">
        <w:rPr>
          <w:rFonts w:ascii="Times New Roman" w:hAnsi="Times New Roman" w:cs="Times New Roman"/>
          <w:sz w:val="20"/>
          <w:szCs w:val="20"/>
        </w:rPr>
        <w:t xml:space="preserve">Figure </w:t>
      </w:r>
      <w:r>
        <w:rPr>
          <w:rFonts w:ascii="Times New Roman" w:hAnsi="Times New Roman" w:cs="Times New Roman"/>
          <w:sz w:val="20"/>
          <w:szCs w:val="20"/>
        </w:rPr>
        <w:t>1</w:t>
      </w:r>
      <w:r w:rsidRPr="001C3355">
        <w:rPr>
          <w:rFonts w:ascii="Times New Roman" w:hAnsi="Times New Roman" w:cs="Times New Roman"/>
          <w:sz w:val="20"/>
          <w:szCs w:val="20"/>
        </w:rPr>
        <w:t xml:space="preserve">. </w:t>
      </w:r>
      <w:r>
        <w:rPr>
          <w:rFonts w:ascii="Times New Roman" w:hAnsi="Times New Roman" w:cs="Times New Roman"/>
          <w:sz w:val="20"/>
          <w:szCs w:val="20"/>
        </w:rPr>
        <w:t>An e</w:t>
      </w:r>
      <w:r w:rsidRPr="001C3355">
        <w:rPr>
          <w:rFonts w:ascii="Times New Roman" w:hAnsi="Times New Roman" w:cs="Times New Roman"/>
          <w:sz w:val="20"/>
          <w:szCs w:val="20"/>
        </w:rPr>
        <w:t>xample</w:t>
      </w:r>
      <w:r>
        <w:rPr>
          <w:rFonts w:ascii="Times New Roman" w:hAnsi="Times New Roman" w:cs="Times New Roman"/>
          <w:sz w:val="20"/>
          <w:szCs w:val="20"/>
        </w:rPr>
        <w:t xml:space="preserve"> of mobile IAB-node migration under a stationary IAB-node</w:t>
      </w:r>
    </w:p>
    <w:p w14:paraId="3CD37DA7" w14:textId="77777777" w:rsidR="002561B6" w:rsidRDefault="002561B6" w:rsidP="002561B6">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There is one possibility that IAB-donor-CU1 and IAB-donor-CU3 are not the neighbor gNBs in the real network deployment, and there may no Xn interface between IAB-donor-CU1 and IAB-donor-CU3. In this case, new NG interface HO procedures need to be designed for mobile IAB-node mobility.</w:t>
      </w:r>
    </w:p>
    <w:p w14:paraId="188844CA" w14:textId="77777777" w:rsidR="002561B6" w:rsidRPr="002E416B" w:rsidRDefault="002561B6" w:rsidP="002561B6">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In addition, if mobile IAB-node also supports partial migration and there is no Xn interface between IAB-donor-CU1 and IAB-donor-CU3, new NG interface procedures need to be designed for the partial migration which haven’t been specified in R17. </w:t>
      </w:r>
    </w:p>
    <w:p w14:paraId="3EC3BA0C" w14:textId="77777777" w:rsidR="002561B6" w:rsidRDefault="002561B6" w:rsidP="002561B6">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6956DC">
        <w:rPr>
          <w:rFonts w:ascii="Times New Roman" w:eastAsia="宋体" w:hAnsi="Times New Roman" w:cs="Times New Roman"/>
          <w:b/>
          <w:bCs/>
          <w:kern w:val="0"/>
          <w:sz w:val="20"/>
          <w:szCs w:val="20"/>
        </w:rPr>
        <w:t>Observation 1: There may no Xn interface between IAB-donor-CU1 and IAB-donor-CU3 since they may be not the neighbor gNBs in the real network deployment.</w:t>
      </w:r>
    </w:p>
    <w:p w14:paraId="75C52ED4" w14:textId="77777777" w:rsidR="002561B6" w:rsidRPr="006956DC" w:rsidRDefault="002561B6" w:rsidP="002561B6">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O</w:t>
      </w:r>
      <w:r>
        <w:rPr>
          <w:rFonts w:ascii="Times New Roman" w:eastAsia="宋体" w:hAnsi="Times New Roman" w:cs="Times New Roman"/>
          <w:b/>
          <w:bCs/>
          <w:kern w:val="0"/>
          <w:sz w:val="20"/>
          <w:szCs w:val="20"/>
        </w:rPr>
        <w:t>bservation 2: N</w:t>
      </w:r>
      <w:r w:rsidRPr="002E416B">
        <w:rPr>
          <w:rFonts w:ascii="Times New Roman" w:eastAsia="宋体" w:hAnsi="Times New Roman" w:cs="Times New Roman"/>
          <w:b/>
          <w:bCs/>
          <w:kern w:val="0"/>
          <w:sz w:val="20"/>
          <w:szCs w:val="20"/>
        </w:rPr>
        <w:t>ew NG interface procedures need to be designed for the partial migration</w:t>
      </w:r>
      <w:r>
        <w:rPr>
          <w:rFonts w:ascii="Times New Roman" w:eastAsia="宋体" w:hAnsi="Times New Roman" w:cs="Times New Roman"/>
          <w:b/>
          <w:bCs/>
          <w:kern w:val="0"/>
          <w:sz w:val="20"/>
          <w:szCs w:val="20"/>
        </w:rPr>
        <w:t xml:space="preserve"> and full migration if no Xn interface between </w:t>
      </w:r>
      <w:r w:rsidRPr="006956DC">
        <w:rPr>
          <w:rFonts w:ascii="Times New Roman" w:eastAsia="宋体" w:hAnsi="Times New Roman" w:cs="Times New Roman"/>
          <w:b/>
          <w:bCs/>
          <w:kern w:val="0"/>
          <w:sz w:val="20"/>
          <w:szCs w:val="20"/>
        </w:rPr>
        <w:t>IAB-donor-CU1 and IAB-donor-CU3</w:t>
      </w:r>
      <w:r>
        <w:rPr>
          <w:rFonts w:ascii="Times New Roman" w:eastAsia="宋体" w:hAnsi="Times New Roman" w:cs="Times New Roman"/>
          <w:b/>
          <w:bCs/>
          <w:kern w:val="0"/>
          <w:sz w:val="20"/>
          <w:szCs w:val="20"/>
        </w:rPr>
        <w:t>.</w:t>
      </w:r>
    </w:p>
    <w:p w14:paraId="28A27E5E" w14:textId="77777777" w:rsidR="002561B6" w:rsidRDefault="002561B6" w:rsidP="002561B6">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The migration of the mobile IAB-node also has some impacts on the IAB-donor-CU2 since the RRC and F1 of mobile IAB-node are transported via the path underneath IAB-donor-CU2. For example, the BH link between stationary IAB-node1 and IAB-donor-DU2 needs to be reconfigured due to the mobility of mobile IAB-node.</w:t>
      </w:r>
    </w:p>
    <w:p w14:paraId="7CD69FA8" w14:textId="77777777" w:rsidR="002561B6" w:rsidRPr="0053213E" w:rsidRDefault="002561B6" w:rsidP="002561B6">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B53A2C">
        <w:rPr>
          <w:rFonts w:ascii="Times New Roman" w:eastAsia="宋体" w:hAnsi="Times New Roman" w:cs="Times New Roman" w:hint="eastAsia"/>
          <w:b/>
          <w:bCs/>
          <w:kern w:val="0"/>
          <w:sz w:val="20"/>
          <w:szCs w:val="20"/>
        </w:rPr>
        <w:t>O</w:t>
      </w:r>
      <w:r w:rsidRPr="00B53A2C">
        <w:rPr>
          <w:rFonts w:ascii="Times New Roman" w:eastAsia="宋体" w:hAnsi="Times New Roman" w:cs="Times New Roman"/>
          <w:b/>
          <w:bCs/>
          <w:kern w:val="0"/>
          <w:sz w:val="20"/>
          <w:szCs w:val="20"/>
        </w:rPr>
        <w:t xml:space="preserve">bservation </w:t>
      </w:r>
      <w:r>
        <w:rPr>
          <w:rFonts w:ascii="Times New Roman" w:eastAsia="宋体" w:hAnsi="Times New Roman" w:cs="Times New Roman"/>
          <w:b/>
          <w:bCs/>
          <w:kern w:val="0"/>
          <w:sz w:val="20"/>
          <w:szCs w:val="20"/>
        </w:rPr>
        <w:t>3</w:t>
      </w:r>
      <w:r w:rsidRPr="00B53A2C">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M</w:t>
      </w:r>
      <w:r w:rsidRPr="00B53A2C">
        <w:rPr>
          <w:rFonts w:ascii="Times New Roman" w:eastAsia="宋体" w:hAnsi="Times New Roman" w:cs="Times New Roman"/>
          <w:b/>
          <w:bCs/>
          <w:kern w:val="0"/>
          <w:sz w:val="20"/>
          <w:szCs w:val="20"/>
        </w:rPr>
        <w:t>obile IAB-node mobility has impacts on three IAB-donor if the mobile IAB-node connects to a partial migration stationary IAB-node.</w:t>
      </w:r>
    </w:p>
    <w:p w14:paraId="50B7E31F" w14:textId="77777777" w:rsidR="002561B6" w:rsidRDefault="002561B6" w:rsidP="002561B6">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Based on the observations above, we can propose:</w:t>
      </w:r>
    </w:p>
    <w:p w14:paraId="3990F61A" w14:textId="77777777" w:rsidR="002561B6" w:rsidRPr="007A291D" w:rsidRDefault="002561B6" w:rsidP="002561B6">
      <w:pPr>
        <w:rPr>
          <w:b/>
          <w:bCs/>
        </w:rPr>
      </w:pPr>
      <w:r w:rsidRPr="007A291D">
        <w:rPr>
          <w:rFonts w:ascii="Times New Roman" w:eastAsia="宋体" w:hAnsi="Times New Roman" w:cs="Times New Roman" w:hint="eastAsia"/>
          <w:b/>
          <w:bCs/>
          <w:kern w:val="0"/>
          <w:sz w:val="20"/>
          <w:szCs w:val="20"/>
        </w:rPr>
        <w:t>P</w:t>
      </w:r>
      <w:r w:rsidRPr="007A291D">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1</w:t>
      </w:r>
      <w:r w:rsidRPr="007A291D">
        <w:rPr>
          <w:rFonts w:ascii="Times New Roman" w:eastAsia="宋体" w:hAnsi="Times New Roman" w:cs="Times New Roman"/>
          <w:b/>
          <w:bCs/>
          <w:kern w:val="0"/>
          <w:sz w:val="20"/>
          <w:szCs w:val="20"/>
        </w:rPr>
        <w:t>: A mobile IAB-node can only connect directly to an IAB-donor.</w:t>
      </w:r>
    </w:p>
    <w:p w14:paraId="33EE131B" w14:textId="77777777" w:rsidR="006E2F13" w:rsidRPr="006E2F13" w:rsidRDefault="006E2F13" w:rsidP="006E2F13">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2"/>
          <w:u w:val="single"/>
        </w:rPr>
      </w:pPr>
      <w:r w:rsidRPr="006E2F13">
        <w:rPr>
          <w:rFonts w:ascii="Times New Roman" w:eastAsia="宋体" w:hAnsi="Times New Roman" w:cs="Times New Roman"/>
          <w:b/>
          <w:bCs/>
          <w:kern w:val="0"/>
          <w:sz w:val="22"/>
          <w:u w:val="single"/>
        </w:rPr>
        <w:t>Inter-donor partial migration for mobile IAB-node</w:t>
      </w:r>
    </w:p>
    <w:p w14:paraId="5BF7B847" w14:textId="467DE12A" w:rsidR="00797EC2" w:rsidRPr="001F10C6" w:rsidRDefault="00797EC2" w:rsidP="00797EC2">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 xml:space="preserve">s shown in Figure 2, </w:t>
      </w:r>
      <w:bookmarkStart w:id="4" w:name="_Hlk110516327"/>
      <w:r>
        <w:rPr>
          <w:rFonts w:ascii="Times New Roman" w:eastAsia="宋体" w:hAnsi="Times New Roman" w:cs="Times New Roman"/>
          <w:kern w:val="0"/>
          <w:sz w:val="20"/>
          <w:szCs w:val="20"/>
        </w:rPr>
        <w:t xml:space="preserve">the mobile IAB-node1 firstly performs partial migration from IAB-donor-CU1 to IAB-donor-CU2. </w:t>
      </w: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fter the partial migration, the IAB-MT1 is migrated to target IAB-donor-CU2 while IAB-DU1 still retain its F1 interface with the source IAB-donor-CU1. The mobile IAB-node may move to the coverage of IAB-dornor3. Once the mobile IAB-node1 triggers full migration to another target IAB-donor-CU3, the migration of IAB-DU1 and served UEs may needs negotiation among the three IAB-donors, which will</w:t>
      </w:r>
      <w:r w:rsidRPr="0008016F">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make the full migration procedure become too complex. Alternatively, the full migration of the IAB-node1 to IAB-donor-CU3 can be performed only after the IAB-node1 further complete the full migration from IAB-donor-CU1 to IAB-donor-CU2. However, s</w:t>
      </w:r>
      <w:r w:rsidRPr="00F42247">
        <w:rPr>
          <w:rFonts w:ascii="Times New Roman" w:eastAsia="宋体" w:hAnsi="Times New Roman" w:cs="Times New Roman"/>
          <w:kern w:val="0"/>
          <w:sz w:val="20"/>
          <w:szCs w:val="20"/>
        </w:rPr>
        <w:t>uccessive two time</w:t>
      </w:r>
      <w:r>
        <w:rPr>
          <w:rFonts w:ascii="Times New Roman" w:eastAsia="宋体" w:hAnsi="Times New Roman" w:cs="Times New Roman"/>
          <w:kern w:val="0"/>
          <w:sz w:val="20"/>
          <w:szCs w:val="20"/>
        </w:rPr>
        <w:t xml:space="preserve">s of full migration costs too much latency, it’s unacceptable especially in the scenario of mobile IAB. </w:t>
      </w:r>
    </w:p>
    <w:bookmarkEnd w:id="4"/>
    <w:p w14:paraId="2A3AA278" w14:textId="77777777" w:rsidR="006E2F13" w:rsidRDefault="006E2F13" w:rsidP="006E2F13">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3820DA">
        <w:rPr>
          <w:rFonts w:ascii="Times New Roman" w:eastAsia="宋体" w:hAnsi="Times New Roman" w:cs="Times New Roman" w:hint="eastAsia"/>
          <w:b/>
          <w:bCs/>
          <w:kern w:val="0"/>
          <w:sz w:val="20"/>
          <w:szCs w:val="20"/>
        </w:rPr>
        <w:t>P</w:t>
      </w:r>
      <w:r w:rsidRPr="003820DA">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2</w:t>
      </w:r>
      <w:r w:rsidRPr="003820DA">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Mobile IAB-node only supports full migration and doesn’t support partial migration.</w:t>
      </w:r>
    </w:p>
    <w:p w14:paraId="2677997B" w14:textId="5D13D82C" w:rsidR="006E2F13" w:rsidRPr="00901EE5" w:rsidRDefault="001A344D" w:rsidP="001A344D">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object w:dxaOrig="13951" w:dyaOrig="4161" w14:anchorId="512FDAEA">
          <v:shape id="_x0000_i1026" type="#_x0000_t75" style="width:462pt;height:137.5pt" o:ole="">
            <v:imagedata r:id="rId10" o:title=""/>
          </v:shape>
          <o:OLEObject Type="Embed" ProgID="Visio.Drawing.15" ShapeID="_x0000_i1026" DrawAspect="Content" ObjectID="_1721568795" r:id="rId11"/>
        </w:object>
      </w:r>
    </w:p>
    <w:p w14:paraId="5547CCE3" w14:textId="3D4198D6" w:rsidR="006E2F13" w:rsidRPr="00362050" w:rsidRDefault="006E2F13" w:rsidP="006E2F13">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sidRPr="001C3355">
        <w:rPr>
          <w:rFonts w:ascii="Times New Roman" w:hAnsi="Times New Roman" w:cs="Times New Roman"/>
          <w:sz w:val="20"/>
          <w:szCs w:val="20"/>
        </w:rPr>
        <w:t xml:space="preserve">Figure </w:t>
      </w:r>
      <w:r>
        <w:rPr>
          <w:rFonts w:ascii="Times New Roman" w:hAnsi="Times New Roman" w:cs="Times New Roman"/>
          <w:sz w:val="20"/>
          <w:szCs w:val="20"/>
        </w:rPr>
        <w:t>2</w:t>
      </w:r>
      <w:r w:rsidRPr="001C3355">
        <w:rPr>
          <w:rFonts w:ascii="Times New Roman" w:hAnsi="Times New Roman" w:cs="Times New Roman"/>
          <w:sz w:val="20"/>
          <w:szCs w:val="20"/>
        </w:rPr>
        <w:t xml:space="preserve">. </w:t>
      </w:r>
      <w:r>
        <w:rPr>
          <w:rFonts w:ascii="Times New Roman" w:hAnsi="Times New Roman" w:cs="Times New Roman"/>
          <w:sz w:val="20"/>
          <w:szCs w:val="20"/>
        </w:rPr>
        <w:t>An e</w:t>
      </w:r>
      <w:r w:rsidRPr="001C3355">
        <w:rPr>
          <w:rFonts w:ascii="Times New Roman" w:hAnsi="Times New Roman" w:cs="Times New Roman"/>
          <w:sz w:val="20"/>
          <w:szCs w:val="20"/>
        </w:rPr>
        <w:t>xample</w:t>
      </w:r>
      <w:r>
        <w:rPr>
          <w:rFonts w:ascii="Times New Roman" w:hAnsi="Times New Roman" w:cs="Times New Roman"/>
          <w:sz w:val="20"/>
          <w:szCs w:val="20"/>
        </w:rPr>
        <w:t xml:space="preserve"> of partial migration mobile IAB-node to perform full migration to another IAB-donor</w:t>
      </w:r>
    </w:p>
    <w:p w14:paraId="3E8C0C10" w14:textId="77777777" w:rsidR="006E2F13" w:rsidRPr="006E2F13" w:rsidRDefault="006E2F13" w:rsidP="006E2F13">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2"/>
          <w:u w:val="single"/>
        </w:rPr>
      </w:pPr>
      <w:r w:rsidRPr="006E2F13">
        <w:rPr>
          <w:rFonts w:ascii="Times New Roman" w:eastAsia="宋体" w:hAnsi="Times New Roman" w:cs="Times New Roman"/>
          <w:b/>
          <w:bCs/>
          <w:kern w:val="0"/>
          <w:sz w:val="22"/>
          <w:u w:val="single"/>
        </w:rPr>
        <w:lastRenderedPageBreak/>
        <w:t>Inter-donor full migration for stationary IAB-node</w:t>
      </w:r>
    </w:p>
    <w:p w14:paraId="3995ACB5" w14:textId="77777777" w:rsidR="00C93417" w:rsidRDefault="00C93417" w:rsidP="00C93417">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As defined in the WID [1], the </w:t>
      </w:r>
      <w:r w:rsidRPr="002949AE">
        <w:rPr>
          <w:rFonts w:ascii="Times New Roman" w:eastAsia="宋体" w:hAnsi="Times New Roman" w:cs="Times New Roman"/>
          <w:kern w:val="0"/>
          <w:sz w:val="20"/>
          <w:szCs w:val="20"/>
        </w:rPr>
        <w:t>mobile IAB-node should have no descendent IAB-nodes</w:t>
      </w:r>
      <w:r>
        <w:rPr>
          <w:rFonts w:ascii="Times New Roman" w:eastAsia="宋体" w:hAnsi="Times New Roman" w:cs="Times New Roman"/>
          <w:kern w:val="0"/>
          <w:sz w:val="20"/>
          <w:szCs w:val="20"/>
        </w:rPr>
        <w:t xml:space="preserve"> and only served for UEs for the simplify of mobile IAB-node mobiliary. Then, the full migration procedures defined in Rel-18 shouldn’t involve the </w:t>
      </w:r>
      <w:r w:rsidRPr="002949AE">
        <w:rPr>
          <w:rFonts w:ascii="Times New Roman" w:eastAsia="宋体" w:hAnsi="Times New Roman" w:cs="Times New Roman"/>
          <w:kern w:val="0"/>
          <w:sz w:val="20"/>
          <w:szCs w:val="20"/>
        </w:rPr>
        <w:t>descendent IAB-nodes</w:t>
      </w:r>
      <w:r>
        <w:rPr>
          <w:rFonts w:ascii="Times New Roman" w:eastAsia="宋体" w:hAnsi="Times New Roman" w:cs="Times New Roman"/>
          <w:kern w:val="0"/>
          <w:sz w:val="20"/>
          <w:szCs w:val="20"/>
        </w:rPr>
        <w:t>. While for a stationary intermediate IAB-node, it has descendant IAB-nodes and cannot directly reuse the full migration procedures defined for the mobile IAB-node.</w:t>
      </w:r>
    </w:p>
    <w:p w14:paraId="26E9B234" w14:textId="77777777" w:rsidR="006E2F13" w:rsidRPr="001140E8" w:rsidRDefault="006E2F13" w:rsidP="006E2F13">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6863E6">
        <w:rPr>
          <w:rFonts w:ascii="Times New Roman" w:eastAsia="宋体" w:hAnsi="Times New Roman" w:cs="Times New Roman" w:hint="eastAsia"/>
          <w:b/>
          <w:bCs/>
          <w:kern w:val="0"/>
          <w:sz w:val="20"/>
          <w:szCs w:val="20"/>
        </w:rPr>
        <w:t>P</w:t>
      </w:r>
      <w:r w:rsidRPr="006863E6">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3</w:t>
      </w:r>
      <w:r w:rsidRPr="006863E6">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S</w:t>
      </w:r>
      <w:r w:rsidRPr="006863E6">
        <w:rPr>
          <w:rFonts w:ascii="Times New Roman" w:eastAsia="宋体" w:hAnsi="Times New Roman" w:cs="Times New Roman"/>
          <w:b/>
          <w:bCs/>
          <w:kern w:val="0"/>
          <w:sz w:val="20"/>
          <w:szCs w:val="20"/>
        </w:rPr>
        <w:t xml:space="preserve">tationary IAB-node </w:t>
      </w:r>
      <w:r>
        <w:rPr>
          <w:rFonts w:ascii="Times New Roman" w:eastAsia="宋体" w:hAnsi="Times New Roman" w:cs="Times New Roman"/>
          <w:b/>
          <w:bCs/>
          <w:kern w:val="0"/>
          <w:sz w:val="20"/>
          <w:szCs w:val="20"/>
        </w:rPr>
        <w:t xml:space="preserve">doesn’t </w:t>
      </w:r>
      <w:r w:rsidRPr="006863E6">
        <w:rPr>
          <w:rFonts w:ascii="Times New Roman" w:eastAsia="宋体" w:hAnsi="Times New Roman" w:cs="Times New Roman"/>
          <w:b/>
          <w:bCs/>
          <w:kern w:val="0"/>
          <w:sz w:val="20"/>
          <w:szCs w:val="20"/>
        </w:rPr>
        <w:t>support inter-donor full migration</w:t>
      </w:r>
      <w:r>
        <w:rPr>
          <w:rFonts w:ascii="Times New Roman" w:eastAsia="宋体" w:hAnsi="Times New Roman" w:cs="Times New Roman"/>
          <w:b/>
          <w:bCs/>
          <w:kern w:val="0"/>
          <w:sz w:val="20"/>
          <w:szCs w:val="20"/>
        </w:rPr>
        <w:t xml:space="preserve"> defined in R18</w:t>
      </w:r>
      <w:r w:rsidRPr="006863E6">
        <w:rPr>
          <w:rFonts w:ascii="Times New Roman" w:eastAsia="宋体" w:hAnsi="Times New Roman" w:cs="Times New Roman"/>
          <w:b/>
          <w:bCs/>
          <w:kern w:val="0"/>
          <w:sz w:val="20"/>
          <w:szCs w:val="20"/>
        </w:rPr>
        <w:t>.</w:t>
      </w:r>
    </w:p>
    <w:p w14:paraId="796701EA" w14:textId="430C6239" w:rsidR="00BB0704" w:rsidRPr="00D45139" w:rsidRDefault="00D92B14" w:rsidP="00D45139">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2"/>
          <w:u w:val="single"/>
        </w:rPr>
      </w:pPr>
      <w:r>
        <w:rPr>
          <w:rFonts w:ascii="Times New Roman" w:eastAsia="宋体" w:hAnsi="Times New Roman" w:cs="Times New Roman"/>
          <w:b/>
          <w:bCs/>
          <w:kern w:val="0"/>
          <w:sz w:val="22"/>
          <w:u w:val="single"/>
        </w:rPr>
        <w:t>DL t</w:t>
      </w:r>
      <w:r w:rsidR="00982F4B" w:rsidRPr="00982F4B">
        <w:rPr>
          <w:rFonts w:ascii="Times New Roman" w:eastAsia="宋体" w:hAnsi="Times New Roman" w:cs="Times New Roman"/>
          <w:b/>
          <w:bCs/>
          <w:kern w:val="0"/>
          <w:sz w:val="22"/>
          <w:u w:val="single"/>
        </w:rPr>
        <w:t>raffic differentiation for mobile IAB-nod</w:t>
      </w:r>
      <w:r w:rsidR="00982F4B">
        <w:rPr>
          <w:rFonts w:ascii="Times New Roman" w:eastAsia="宋体" w:hAnsi="Times New Roman" w:cs="Times New Roman"/>
          <w:b/>
          <w:bCs/>
          <w:kern w:val="0"/>
          <w:sz w:val="22"/>
          <w:u w:val="single"/>
        </w:rPr>
        <w:t>e</w:t>
      </w:r>
    </w:p>
    <w:p w14:paraId="4F7B8B28" w14:textId="77777777" w:rsidR="004745FB" w:rsidRDefault="004745FB" w:rsidP="004745FB">
      <w:pPr>
        <w:widowControl/>
        <w:overflowPunct w:val="0"/>
        <w:autoSpaceDE w:val="0"/>
        <w:autoSpaceDN w:val="0"/>
        <w:adjustRightInd w:val="0"/>
        <w:spacing w:after="120"/>
        <w:jc w:val="center"/>
        <w:textAlignment w:val="baseline"/>
      </w:pPr>
      <w:r>
        <w:object w:dxaOrig="5301" w:dyaOrig="3931" w14:anchorId="7125BAC8">
          <v:shape id="_x0000_i1027" type="#_x0000_t75" style="width:194pt;height:143.5pt" o:ole="">
            <v:imagedata r:id="rId12" o:title=""/>
          </v:shape>
          <o:OLEObject Type="Embed" ProgID="Visio.Drawing.15" ShapeID="_x0000_i1027" DrawAspect="Content" ObjectID="_1721568796" r:id="rId13"/>
        </w:object>
      </w:r>
    </w:p>
    <w:p w14:paraId="51966B27" w14:textId="241AF3DB" w:rsidR="004745FB" w:rsidRPr="005750E7" w:rsidRDefault="004745FB" w:rsidP="004745FB">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sidRPr="001C3355">
        <w:rPr>
          <w:rFonts w:ascii="Times New Roman" w:hAnsi="Times New Roman" w:cs="Times New Roman"/>
          <w:sz w:val="20"/>
          <w:szCs w:val="20"/>
        </w:rPr>
        <w:t xml:space="preserve">Figure </w:t>
      </w:r>
      <w:r w:rsidR="00D45139">
        <w:rPr>
          <w:rFonts w:ascii="Times New Roman" w:hAnsi="Times New Roman" w:cs="Times New Roman"/>
          <w:sz w:val="20"/>
          <w:szCs w:val="20"/>
        </w:rPr>
        <w:t>3</w:t>
      </w:r>
      <w:r w:rsidRPr="001C3355">
        <w:rPr>
          <w:rFonts w:ascii="Times New Roman" w:hAnsi="Times New Roman" w:cs="Times New Roman"/>
          <w:sz w:val="20"/>
          <w:szCs w:val="20"/>
        </w:rPr>
        <w:t xml:space="preserve">. Example of </w:t>
      </w:r>
      <w:r>
        <w:rPr>
          <w:rFonts w:ascii="Times New Roman" w:hAnsi="Times New Roman" w:cs="Times New Roman"/>
          <w:sz w:val="20"/>
          <w:szCs w:val="20"/>
        </w:rPr>
        <w:t>inter-donor migration of mobile IAB-node and its served UE</w:t>
      </w:r>
    </w:p>
    <w:p w14:paraId="388E97E2" w14:textId="55321626" w:rsidR="00BB0704" w:rsidRDefault="003B4EC6" w:rsidP="005A768A">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s shown in Figure 3, two logical IAB-DUs (IAB-DU1 and IAB-DU2)</w:t>
      </w:r>
      <w:r w:rsidR="005A768A">
        <w:rPr>
          <w:rFonts w:ascii="Times New Roman" w:eastAsia="宋体" w:hAnsi="Times New Roman" w:cs="Times New Roman"/>
          <w:kern w:val="0"/>
          <w:sz w:val="20"/>
          <w:szCs w:val="20"/>
        </w:rPr>
        <w:t xml:space="preserve"> can be activated at the same time during the full migration, the BAP modeling specified in R16 and R17 </w:t>
      </w:r>
      <w:r w:rsidR="001911F4">
        <w:rPr>
          <w:rFonts w:ascii="Times New Roman" w:eastAsia="宋体" w:hAnsi="Times New Roman" w:cs="Times New Roman"/>
          <w:kern w:val="0"/>
          <w:sz w:val="20"/>
          <w:szCs w:val="20"/>
        </w:rPr>
        <w:t xml:space="preserve">as follow </w:t>
      </w:r>
      <w:r w:rsidR="005A768A">
        <w:rPr>
          <w:rFonts w:ascii="Times New Roman" w:eastAsia="宋体" w:hAnsi="Times New Roman" w:cs="Times New Roman"/>
          <w:kern w:val="0"/>
          <w:sz w:val="20"/>
          <w:szCs w:val="20"/>
        </w:rPr>
        <w:t xml:space="preserve">is </w:t>
      </w:r>
      <w:r w:rsidR="005A768A" w:rsidRPr="005A768A">
        <w:rPr>
          <w:rFonts w:ascii="Times New Roman" w:eastAsia="宋体" w:hAnsi="Times New Roman" w:cs="Times New Roman"/>
          <w:kern w:val="0"/>
          <w:sz w:val="20"/>
          <w:szCs w:val="20"/>
        </w:rPr>
        <w:t>inapplicable</w:t>
      </w:r>
      <w:r w:rsidR="005A768A">
        <w:rPr>
          <w:rFonts w:ascii="Times New Roman" w:eastAsia="宋体" w:hAnsi="Times New Roman" w:cs="Times New Roman"/>
          <w:kern w:val="0"/>
          <w:sz w:val="20"/>
          <w:szCs w:val="20"/>
        </w:rPr>
        <w:t xml:space="preserve"> now for the mobile IAB-node with two logical IAB-DUs.</w:t>
      </w:r>
    </w:p>
    <w:tbl>
      <w:tblPr>
        <w:tblW w:w="9800"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00"/>
      </w:tblGrid>
      <w:tr w:rsidR="001911F4" w14:paraId="04596E3F" w14:textId="77777777" w:rsidTr="00AD75AE">
        <w:trPr>
          <w:trHeight w:val="270"/>
        </w:trPr>
        <w:tc>
          <w:tcPr>
            <w:tcW w:w="9800" w:type="dxa"/>
          </w:tcPr>
          <w:p w14:paraId="3B17C053" w14:textId="77777777" w:rsidR="001911F4" w:rsidRDefault="001911F4" w:rsidP="001911F4">
            <w:pPr>
              <w:pStyle w:val="3"/>
              <w:rPr>
                <w:rFonts w:cs="Arial"/>
                <w:lang w:eastAsia="zh-CN"/>
              </w:rPr>
            </w:pPr>
            <w:bookmarkStart w:id="5" w:name="_Toc100872948"/>
            <w:r>
              <w:rPr>
                <w:rFonts w:cs="Arial"/>
              </w:rPr>
              <w:t>5.2.</w:t>
            </w:r>
            <w:r>
              <w:rPr>
                <w:rFonts w:cs="Arial"/>
                <w:lang w:eastAsia="zh-CN"/>
              </w:rPr>
              <w:t>2</w:t>
            </w:r>
            <w:r>
              <w:rPr>
                <w:rFonts w:cs="Arial"/>
              </w:rPr>
              <w:tab/>
            </w:r>
            <w:r>
              <w:rPr>
                <w:rFonts w:cs="Arial"/>
                <w:lang w:eastAsia="zh-CN"/>
              </w:rPr>
              <w:t>Receiving operation</w:t>
            </w:r>
            <w:bookmarkEnd w:id="5"/>
          </w:p>
          <w:p w14:paraId="193A068D" w14:textId="77777777" w:rsidR="001911F4" w:rsidRPr="00A51FC3" w:rsidRDefault="001911F4" w:rsidP="001911F4">
            <w:pPr>
              <w:rPr>
                <w:rFonts w:ascii="Times New Roman" w:eastAsia="Times New Roman" w:hAnsi="Times New Roman" w:cs="Times New Roman"/>
                <w:kern w:val="0"/>
                <w:sz w:val="20"/>
                <w:szCs w:val="20"/>
                <w:lang w:val="en-GB" w:eastAsia="ja-JP"/>
              </w:rPr>
            </w:pPr>
            <w:r w:rsidRPr="00A51FC3">
              <w:rPr>
                <w:rFonts w:ascii="Times New Roman" w:eastAsia="Times New Roman" w:hAnsi="Times New Roman" w:cs="Times New Roman"/>
                <w:kern w:val="0"/>
                <w:sz w:val="20"/>
                <w:szCs w:val="20"/>
                <w:lang w:val="en-GB" w:eastAsia="ja-JP"/>
              </w:rPr>
              <w:t>Upon receiving a BAP Data PDU from lower layer (i.e. ingress BH RLC channel), the receiving part of the BAP entity shall:</w:t>
            </w:r>
          </w:p>
          <w:p w14:paraId="621A03E5" w14:textId="77777777" w:rsidR="001911F4" w:rsidRDefault="001911F4" w:rsidP="001911F4">
            <w:pPr>
              <w:pStyle w:val="B1"/>
            </w:pPr>
            <w:r>
              <w:t>-</w:t>
            </w:r>
            <w:r>
              <w:tab/>
              <w:t>if DESTINATION field of this BAP Data PDU matches the BAP address, which is configured for this node by the IAB-donor providing this ingress BH RLC channel configuration:</w:t>
            </w:r>
          </w:p>
          <w:p w14:paraId="1B145CA2" w14:textId="77777777" w:rsidR="001911F4" w:rsidRDefault="001911F4" w:rsidP="001911F4">
            <w:pPr>
              <w:pStyle w:val="B2"/>
            </w:pPr>
            <w:r>
              <w:rPr>
                <w:lang w:eastAsia="ko-KR"/>
              </w:rPr>
              <w:t>-</w:t>
            </w:r>
            <w:r>
              <w:rPr>
                <w:lang w:eastAsia="ko-KR"/>
              </w:rPr>
              <w:tab/>
            </w:r>
            <w:r>
              <w:t>remove the BAP header of this BAP Data PDU and deliver the BAP SDU to upper layers;</w:t>
            </w:r>
          </w:p>
          <w:p w14:paraId="773270AA" w14:textId="77777777" w:rsidR="001911F4" w:rsidRDefault="001911F4" w:rsidP="001911F4">
            <w:pPr>
              <w:pStyle w:val="B1"/>
            </w:pPr>
            <w:r>
              <w:t>-</w:t>
            </w:r>
            <w:r>
              <w:tab/>
              <w:t>else:</w:t>
            </w:r>
          </w:p>
          <w:p w14:paraId="3337F25B" w14:textId="06FEFA24" w:rsidR="001911F4" w:rsidRPr="001911F4" w:rsidRDefault="001911F4" w:rsidP="001911F4">
            <w:pPr>
              <w:pStyle w:val="B2"/>
            </w:pPr>
            <w:r>
              <w:rPr>
                <w:lang w:eastAsia="ko-KR"/>
              </w:rPr>
              <w:t>-</w:t>
            </w:r>
            <w:r>
              <w:rPr>
                <w:lang w:eastAsia="ko-KR"/>
              </w:rPr>
              <w:tab/>
            </w:r>
            <w:r>
              <w:t xml:space="preserve">deliver the </w:t>
            </w:r>
            <w:r>
              <w:rPr>
                <w:lang w:eastAsia="zh-CN"/>
              </w:rPr>
              <w:t>BAP Data Packet</w:t>
            </w:r>
            <w:r>
              <w:t xml:space="preserve"> to the transmitting part of the collocated BAP entity.</w:t>
            </w:r>
          </w:p>
        </w:tc>
      </w:tr>
    </w:tbl>
    <w:p w14:paraId="30093859" w14:textId="3E2CF2EE" w:rsidR="00D45139" w:rsidRPr="00EC0046" w:rsidRDefault="00B073B4" w:rsidP="00C663F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or DL transmission</w:t>
      </w:r>
      <w:r w:rsidR="00AD75AE">
        <w:rPr>
          <w:rFonts w:ascii="Times New Roman" w:eastAsia="宋体" w:hAnsi="Times New Roman" w:cs="Times New Roman"/>
          <w:kern w:val="0"/>
          <w:sz w:val="20"/>
          <w:szCs w:val="20"/>
        </w:rPr>
        <w:t xml:space="preserve"> of mobile IAB-node</w:t>
      </w:r>
      <w:r>
        <w:rPr>
          <w:rFonts w:ascii="Times New Roman" w:eastAsia="宋体" w:hAnsi="Times New Roman" w:cs="Times New Roman"/>
          <w:kern w:val="0"/>
          <w:sz w:val="20"/>
          <w:szCs w:val="20"/>
        </w:rPr>
        <w:t xml:space="preserve">, upon receiving </w:t>
      </w:r>
      <w:r w:rsidR="001911F4">
        <w:rPr>
          <w:rFonts w:ascii="Times New Roman" w:eastAsia="宋体" w:hAnsi="Times New Roman" w:cs="Times New Roman"/>
          <w:kern w:val="0"/>
          <w:sz w:val="20"/>
          <w:szCs w:val="20"/>
        </w:rPr>
        <w:t>a</w:t>
      </w:r>
      <w:r>
        <w:rPr>
          <w:rFonts w:ascii="Times New Roman" w:eastAsia="宋体" w:hAnsi="Times New Roman" w:cs="Times New Roman"/>
          <w:kern w:val="0"/>
          <w:sz w:val="20"/>
          <w:szCs w:val="20"/>
        </w:rPr>
        <w:t xml:space="preserve"> DL </w:t>
      </w:r>
      <w:r w:rsidR="001911F4" w:rsidRPr="001911F4">
        <w:rPr>
          <w:rFonts w:ascii="Times New Roman" w:eastAsia="宋体" w:hAnsi="Times New Roman" w:cs="Times New Roman"/>
          <w:kern w:val="0"/>
          <w:sz w:val="20"/>
          <w:szCs w:val="20"/>
        </w:rPr>
        <w:t>BAP Data PDU</w:t>
      </w:r>
      <w:r>
        <w:rPr>
          <w:rFonts w:ascii="Times New Roman" w:eastAsia="宋体" w:hAnsi="Times New Roman" w:cs="Times New Roman"/>
          <w:kern w:val="0"/>
          <w:sz w:val="20"/>
          <w:szCs w:val="20"/>
        </w:rPr>
        <w:t xml:space="preserve"> from IAB-donor-DU1 or IAB-donor-DU2 by mobile IAB-MT, </w:t>
      </w:r>
      <w:r w:rsidR="001911F4" w:rsidRPr="001911F4">
        <w:rPr>
          <w:rFonts w:ascii="Times New Roman" w:eastAsia="宋体" w:hAnsi="Times New Roman" w:cs="Times New Roman"/>
          <w:kern w:val="0"/>
          <w:sz w:val="20"/>
          <w:szCs w:val="20"/>
        </w:rPr>
        <w:t xml:space="preserve">BAP entity </w:t>
      </w:r>
      <w:r w:rsidR="001911F4">
        <w:rPr>
          <w:rFonts w:ascii="Times New Roman" w:eastAsia="宋体" w:hAnsi="Times New Roman" w:cs="Times New Roman"/>
          <w:kern w:val="0"/>
          <w:sz w:val="20"/>
          <w:szCs w:val="20"/>
        </w:rPr>
        <w:t>of</w:t>
      </w:r>
      <w:r>
        <w:rPr>
          <w:rFonts w:ascii="Times New Roman" w:eastAsia="宋体" w:hAnsi="Times New Roman" w:cs="Times New Roman"/>
          <w:kern w:val="0"/>
          <w:sz w:val="20"/>
          <w:szCs w:val="20"/>
        </w:rPr>
        <w:t xml:space="preserve"> mobile IAB-MT</w:t>
      </w:r>
      <w:r w:rsidR="001911F4">
        <w:rPr>
          <w:rFonts w:ascii="Times New Roman" w:eastAsia="宋体" w:hAnsi="Times New Roman" w:cs="Times New Roman"/>
          <w:kern w:val="0"/>
          <w:sz w:val="20"/>
          <w:szCs w:val="20"/>
        </w:rPr>
        <w:t xml:space="preserve"> shall</w:t>
      </w:r>
      <w:r>
        <w:rPr>
          <w:rFonts w:ascii="Times New Roman" w:eastAsia="宋体" w:hAnsi="Times New Roman" w:cs="Times New Roman"/>
          <w:kern w:val="0"/>
          <w:sz w:val="20"/>
          <w:szCs w:val="20"/>
        </w:rPr>
        <w:t xml:space="preserve"> </w:t>
      </w:r>
      <w:r w:rsidR="001911F4" w:rsidRPr="001911F4">
        <w:rPr>
          <w:rFonts w:ascii="Times New Roman" w:eastAsia="宋体" w:hAnsi="Times New Roman" w:cs="Times New Roman"/>
          <w:kern w:val="0"/>
          <w:sz w:val="20"/>
          <w:szCs w:val="20"/>
        </w:rPr>
        <w:t>remove the BAP header of this BAP Data PDU</w:t>
      </w:r>
      <w:r w:rsidR="001911F4">
        <w:rPr>
          <w:rFonts w:ascii="Times New Roman" w:eastAsia="宋体" w:hAnsi="Times New Roman" w:cs="Times New Roman"/>
          <w:kern w:val="0"/>
          <w:sz w:val="20"/>
          <w:szCs w:val="20"/>
        </w:rPr>
        <w:t xml:space="preserve"> </w:t>
      </w:r>
      <w:r w:rsidR="00AD75AE">
        <w:rPr>
          <w:rFonts w:ascii="Times New Roman" w:eastAsia="宋体" w:hAnsi="Times New Roman" w:cs="Times New Roman"/>
          <w:kern w:val="0"/>
          <w:sz w:val="20"/>
          <w:szCs w:val="20"/>
        </w:rPr>
        <w:t>since the mobile IAB-node has no descendant IAB-nodes and i</w:t>
      </w:r>
      <w:r w:rsidR="00236172">
        <w:rPr>
          <w:rFonts w:ascii="Times New Roman" w:eastAsia="宋体" w:hAnsi="Times New Roman" w:cs="Times New Roman"/>
          <w:kern w:val="0"/>
          <w:sz w:val="20"/>
          <w:szCs w:val="20"/>
        </w:rPr>
        <w:t>t’</w:t>
      </w:r>
      <w:r w:rsidR="00AD75AE">
        <w:rPr>
          <w:rFonts w:ascii="Times New Roman" w:eastAsia="宋体" w:hAnsi="Times New Roman" w:cs="Times New Roman"/>
          <w:kern w:val="0"/>
          <w:sz w:val="20"/>
          <w:szCs w:val="20"/>
        </w:rPr>
        <w:t xml:space="preserve">s the destination node on the BH </w:t>
      </w:r>
      <w:r w:rsidR="003922D6">
        <w:rPr>
          <w:rFonts w:ascii="Times New Roman" w:eastAsia="宋体" w:hAnsi="Times New Roman" w:cs="Times New Roman"/>
          <w:kern w:val="0"/>
          <w:sz w:val="20"/>
          <w:szCs w:val="20"/>
        </w:rPr>
        <w:t>link</w:t>
      </w:r>
      <w:r w:rsidR="00EE4061">
        <w:rPr>
          <w:rFonts w:ascii="Times New Roman" w:eastAsia="宋体" w:hAnsi="Times New Roman" w:cs="Times New Roman"/>
          <w:kern w:val="0"/>
          <w:sz w:val="20"/>
          <w:szCs w:val="20"/>
        </w:rPr>
        <w:t>.</w:t>
      </w:r>
      <w:r w:rsidR="003922D6">
        <w:rPr>
          <w:rFonts w:ascii="Times New Roman" w:eastAsia="宋体" w:hAnsi="Times New Roman" w:cs="Times New Roman"/>
          <w:kern w:val="0"/>
          <w:sz w:val="20"/>
          <w:szCs w:val="20"/>
        </w:rPr>
        <w:t xml:space="preserve"> </w:t>
      </w:r>
      <w:r w:rsidR="00EE4061">
        <w:rPr>
          <w:rFonts w:ascii="Times New Roman" w:eastAsia="宋体" w:hAnsi="Times New Roman" w:cs="Times New Roman"/>
          <w:kern w:val="0"/>
          <w:sz w:val="20"/>
          <w:szCs w:val="20"/>
        </w:rPr>
        <w:t>A</w:t>
      </w:r>
      <w:r w:rsidR="003922D6">
        <w:rPr>
          <w:rFonts w:ascii="Times New Roman" w:eastAsia="宋体" w:hAnsi="Times New Roman" w:cs="Times New Roman"/>
          <w:kern w:val="0"/>
          <w:sz w:val="20"/>
          <w:szCs w:val="20"/>
        </w:rPr>
        <w:t>nd the BAP entity of mobile IAB-MT</w:t>
      </w:r>
      <w:r w:rsidR="001911F4">
        <w:rPr>
          <w:rFonts w:ascii="Times New Roman" w:eastAsia="宋体" w:hAnsi="Times New Roman" w:cs="Times New Roman"/>
          <w:kern w:val="0"/>
          <w:sz w:val="20"/>
          <w:szCs w:val="20"/>
        </w:rPr>
        <w:t xml:space="preserve"> </w:t>
      </w:r>
      <w:r w:rsidR="001911F4" w:rsidRPr="001911F4">
        <w:rPr>
          <w:rFonts w:ascii="Times New Roman" w:eastAsia="宋体" w:hAnsi="Times New Roman" w:cs="Times New Roman"/>
          <w:kern w:val="0"/>
          <w:sz w:val="20"/>
          <w:szCs w:val="20"/>
        </w:rPr>
        <w:t>deliver</w:t>
      </w:r>
      <w:r w:rsidR="003922D6">
        <w:rPr>
          <w:rFonts w:ascii="Times New Roman" w:eastAsia="宋体" w:hAnsi="Times New Roman" w:cs="Times New Roman"/>
          <w:kern w:val="0"/>
          <w:sz w:val="20"/>
          <w:szCs w:val="20"/>
        </w:rPr>
        <w:t>s</w:t>
      </w:r>
      <w:r w:rsidR="001911F4" w:rsidRPr="001911F4">
        <w:rPr>
          <w:rFonts w:ascii="Times New Roman" w:eastAsia="宋体" w:hAnsi="Times New Roman" w:cs="Times New Roman"/>
          <w:kern w:val="0"/>
          <w:sz w:val="20"/>
          <w:szCs w:val="20"/>
        </w:rPr>
        <w:t xml:space="preserve"> the BAP SDU to</w:t>
      </w:r>
      <w:r w:rsidR="001911F4">
        <w:rPr>
          <w:rFonts w:ascii="Times New Roman" w:eastAsia="宋体" w:hAnsi="Times New Roman" w:cs="Times New Roman"/>
          <w:kern w:val="0"/>
          <w:sz w:val="20"/>
          <w:szCs w:val="20"/>
        </w:rPr>
        <w:t xml:space="preserve"> upper layer </w:t>
      </w:r>
      <w:r w:rsidR="00AD75AE">
        <w:rPr>
          <w:rFonts w:ascii="Times New Roman" w:eastAsia="宋体" w:hAnsi="Times New Roman" w:cs="Times New Roman"/>
          <w:kern w:val="0"/>
          <w:sz w:val="20"/>
          <w:szCs w:val="20"/>
        </w:rPr>
        <w:t>of IAB-DU1 or IAB-DU2</w:t>
      </w:r>
      <w:r w:rsidR="00EE4061">
        <w:rPr>
          <w:rFonts w:ascii="Times New Roman" w:eastAsia="宋体" w:hAnsi="Times New Roman" w:cs="Times New Roman"/>
          <w:kern w:val="0"/>
          <w:sz w:val="20"/>
          <w:szCs w:val="20"/>
        </w:rPr>
        <w:t xml:space="preserve">. For the BAP entity of mobile IAB-node, </w:t>
      </w:r>
      <w:r w:rsidR="007C0DD9">
        <w:rPr>
          <w:rFonts w:ascii="Times New Roman" w:eastAsia="宋体" w:hAnsi="Times New Roman" w:cs="Times New Roman"/>
          <w:kern w:val="0"/>
          <w:sz w:val="20"/>
          <w:szCs w:val="20"/>
        </w:rPr>
        <w:t>it needs differentiate the DL traffic from IAB-donor1 or IAB-donor</w:t>
      </w:r>
      <w:r w:rsidR="00236172">
        <w:rPr>
          <w:rFonts w:ascii="Times New Roman" w:eastAsia="宋体" w:hAnsi="Times New Roman" w:cs="Times New Roman"/>
          <w:kern w:val="0"/>
          <w:sz w:val="20"/>
          <w:szCs w:val="20"/>
        </w:rPr>
        <w:t>2</w:t>
      </w:r>
      <w:r w:rsidR="007C0DD9">
        <w:rPr>
          <w:rFonts w:ascii="Times New Roman" w:eastAsia="宋体" w:hAnsi="Times New Roman" w:cs="Times New Roman"/>
          <w:kern w:val="0"/>
          <w:sz w:val="20"/>
          <w:szCs w:val="20"/>
        </w:rPr>
        <w:t xml:space="preserve"> then it can deliver the DL traffic to the right logical IAB-DU. </w:t>
      </w:r>
      <w:r w:rsidR="00971E58">
        <w:rPr>
          <w:rFonts w:ascii="Times New Roman" w:eastAsia="宋体" w:hAnsi="Times New Roman" w:cs="Times New Roman"/>
          <w:kern w:val="0"/>
          <w:sz w:val="20"/>
          <w:szCs w:val="20"/>
        </w:rPr>
        <w:t xml:space="preserve">It’s reasonable for the two IAB-donors to configure separate BAP address for the mobile IAB-node, and in this case the BAP entity of mobile IAB-node can differentiate the DL traffic based on the BAP addresses on the BAP header. Alternatively, </w:t>
      </w:r>
      <w:r w:rsidR="00193869">
        <w:rPr>
          <w:rFonts w:ascii="Times New Roman" w:eastAsia="宋体" w:hAnsi="Times New Roman" w:cs="Times New Roman"/>
          <w:kern w:val="0"/>
          <w:sz w:val="20"/>
          <w:szCs w:val="20"/>
        </w:rPr>
        <w:t>separate IP addresses may be configured fur two IAB-DUs for F1 traffic transport, and the BAP entity of mobile IAB-node can differentiate the DL traffic based on the destination IP address after removing the BAP header.</w:t>
      </w:r>
    </w:p>
    <w:p w14:paraId="665E4BF4" w14:textId="54A1362E" w:rsidR="00A20DFF" w:rsidRDefault="00A20DFF" w:rsidP="00C663F0">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9B24D3">
        <w:rPr>
          <w:rFonts w:ascii="Times New Roman" w:eastAsia="宋体" w:hAnsi="Times New Roman" w:cs="Times New Roman"/>
          <w:b/>
          <w:bCs/>
          <w:kern w:val="0"/>
          <w:sz w:val="20"/>
          <w:szCs w:val="20"/>
        </w:rPr>
        <w:t>Proposal 4: DL traffic differentiation for mobile IAB-node</w:t>
      </w:r>
      <w:r w:rsidR="007878A9">
        <w:rPr>
          <w:rFonts w:ascii="Times New Roman" w:eastAsia="宋体" w:hAnsi="Times New Roman" w:cs="Times New Roman"/>
          <w:b/>
          <w:bCs/>
          <w:kern w:val="0"/>
          <w:sz w:val="20"/>
          <w:szCs w:val="20"/>
        </w:rPr>
        <w:t xml:space="preserve"> is</w:t>
      </w:r>
      <w:r w:rsidRPr="009B24D3">
        <w:rPr>
          <w:rFonts w:ascii="Times New Roman" w:eastAsia="宋体" w:hAnsi="Times New Roman" w:cs="Times New Roman"/>
          <w:b/>
          <w:bCs/>
          <w:kern w:val="0"/>
          <w:sz w:val="20"/>
          <w:szCs w:val="20"/>
        </w:rPr>
        <w:t xml:space="preserve"> based on different BAP addresses </w:t>
      </w:r>
      <w:r w:rsidR="007878A9">
        <w:rPr>
          <w:rFonts w:ascii="Times New Roman" w:eastAsia="宋体" w:hAnsi="Times New Roman" w:cs="Times New Roman"/>
          <w:b/>
          <w:bCs/>
          <w:kern w:val="0"/>
          <w:sz w:val="20"/>
          <w:szCs w:val="20"/>
        </w:rPr>
        <w:t xml:space="preserve">or IP addresses </w:t>
      </w:r>
      <w:r w:rsidRPr="009B24D3">
        <w:rPr>
          <w:rFonts w:ascii="Times New Roman" w:eastAsia="宋体" w:hAnsi="Times New Roman" w:cs="Times New Roman"/>
          <w:b/>
          <w:bCs/>
          <w:kern w:val="0"/>
          <w:sz w:val="20"/>
          <w:szCs w:val="20"/>
        </w:rPr>
        <w:t>of two logical IAB-DUs.</w:t>
      </w:r>
    </w:p>
    <w:p w14:paraId="4516DE59" w14:textId="1FBDA38D" w:rsidR="00C5589F" w:rsidRPr="00440924" w:rsidRDefault="00C5589F" w:rsidP="00440924">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2"/>
          <w:u w:val="single"/>
        </w:rPr>
      </w:pPr>
      <w:r w:rsidRPr="00C5589F">
        <w:rPr>
          <w:rFonts w:ascii="Times New Roman" w:eastAsia="宋体" w:hAnsi="Times New Roman" w:cs="Times New Roman" w:hint="eastAsia"/>
          <w:b/>
          <w:bCs/>
          <w:kern w:val="0"/>
          <w:sz w:val="22"/>
          <w:u w:val="single"/>
        </w:rPr>
        <w:t>I</w:t>
      </w:r>
      <w:r w:rsidRPr="00C5589F">
        <w:rPr>
          <w:rFonts w:ascii="Times New Roman" w:eastAsia="宋体" w:hAnsi="Times New Roman" w:cs="Times New Roman"/>
          <w:b/>
          <w:bCs/>
          <w:kern w:val="0"/>
          <w:sz w:val="22"/>
          <w:u w:val="single"/>
        </w:rPr>
        <w:t>nterference mitigation for mobile IAB-mode mobility</w:t>
      </w:r>
    </w:p>
    <w:p w14:paraId="7F73ABE0" w14:textId="77777777" w:rsidR="00C5589F" w:rsidRPr="00024188" w:rsidRDefault="00C5589F" w:rsidP="00C5589F">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u w:val="single"/>
        </w:rPr>
      </w:pPr>
      <w:bookmarkStart w:id="6" w:name="OLE_LINK5"/>
      <w:r w:rsidRPr="00024188">
        <w:rPr>
          <w:rFonts w:ascii="Times New Roman" w:eastAsia="宋体" w:hAnsi="Times New Roman" w:cs="Times New Roman" w:hint="eastAsia"/>
          <w:b/>
          <w:bCs/>
          <w:kern w:val="0"/>
          <w:sz w:val="20"/>
          <w:szCs w:val="20"/>
          <w:u w:val="single"/>
        </w:rPr>
        <w:t>P</w:t>
      </w:r>
      <w:r w:rsidRPr="00024188">
        <w:rPr>
          <w:rFonts w:ascii="Times New Roman" w:eastAsia="宋体" w:hAnsi="Times New Roman" w:cs="Times New Roman"/>
          <w:b/>
          <w:bCs/>
          <w:kern w:val="0"/>
          <w:sz w:val="20"/>
          <w:szCs w:val="20"/>
          <w:u w:val="single"/>
        </w:rPr>
        <w:t>CI collision</w:t>
      </w:r>
      <w:r>
        <w:rPr>
          <w:rFonts w:ascii="Times New Roman" w:eastAsia="宋体" w:hAnsi="Times New Roman" w:cs="Times New Roman"/>
          <w:b/>
          <w:bCs/>
          <w:kern w:val="0"/>
          <w:sz w:val="20"/>
          <w:szCs w:val="20"/>
          <w:u w:val="single"/>
        </w:rPr>
        <w:t xml:space="preserve"> of mobile IAB-node</w:t>
      </w:r>
    </w:p>
    <w:bookmarkEnd w:id="6"/>
    <w:p w14:paraId="1395BD9E" w14:textId="2F5D6F6B" w:rsidR="00C5589F" w:rsidRDefault="00C5589F" w:rsidP="00C5589F">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or a mobile IAB-node undergoing full migration, it has two logical IAB-DUs which terminates at source IAB-donor-CU and target IAB-donor-CU separately. And the cells of the two logical IAB-DUs can be activated simultaneously so that the served UEs of the mobile IAB-node can perform handover from the source cell in logical IAB-DU1 to the target cell in logical IAB-DU2.</w:t>
      </w:r>
    </w:p>
    <w:p w14:paraId="502E3BAA" w14:textId="77777777" w:rsidR="00C5589F" w:rsidRDefault="00C5589F" w:rsidP="00C5589F">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lastRenderedPageBreak/>
        <w:t>In the same frequency band, if source cell of IAB-DU1 and target cell of IAB-DU2 use the same PCI, UE in the cell cannot differentiate the two cells using the same PCI and can only detect and synchronize to one of them which lead to potential PCI collision</w:t>
      </w:r>
      <w:r>
        <w:rPr>
          <w:rFonts w:ascii="Times New Roman" w:eastAsia="宋体" w:hAnsi="Times New Roman" w:cs="Times New Roman" w:hint="eastAsia"/>
          <w:kern w:val="0"/>
          <w:sz w:val="20"/>
          <w:szCs w:val="20"/>
        </w:rPr>
        <w:t xml:space="preserve">. </w:t>
      </w:r>
      <w:r>
        <w:rPr>
          <w:rFonts w:ascii="Times New Roman" w:eastAsia="宋体" w:hAnsi="Times New Roman" w:cs="Times New Roman"/>
          <w:kern w:val="0"/>
          <w:sz w:val="20"/>
          <w:szCs w:val="20"/>
        </w:rPr>
        <w:t>In addition, if a UE in the third cell wants to handover to a cell of IAB-DU1 or a cell of IAB-DU2 which is identified by the same PCI at the same time, gNB of the third cell is confusion and cannot distinguish the two cells for UE to handover.</w:t>
      </w:r>
    </w:p>
    <w:p w14:paraId="18B3B5F0" w14:textId="6E6D2306" w:rsidR="00C5589F" w:rsidRDefault="00C5589F" w:rsidP="00C5589F">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8F3B09">
        <w:rPr>
          <w:rFonts w:ascii="Times New Roman" w:eastAsia="宋体" w:hAnsi="Times New Roman" w:cs="Times New Roman" w:hint="eastAsia"/>
          <w:b/>
          <w:bCs/>
          <w:kern w:val="0"/>
          <w:sz w:val="20"/>
          <w:szCs w:val="20"/>
        </w:rPr>
        <w:t>O</w:t>
      </w:r>
      <w:r w:rsidRPr="008F3B09">
        <w:rPr>
          <w:rFonts w:ascii="Times New Roman" w:eastAsia="宋体" w:hAnsi="Times New Roman" w:cs="Times New Roman"/>
          <w:b/>
          <w:bCs/>
          <w:kern w:val="0"/>
          <w:sz w:val="20"/>
          <w:szCs w:val="20"/>
        </w:rPr>
        <w:t xml:space="preserve">bservation </w:t>
      </w:r>
      <w:r w:rsidR="006D679C">
        <w:rPr>
          <w:rFonts w:ascii="Times New Roman" w:eastAsia="宋体" w:hAnsi="Times New Roman" w:cs="Times New Roman"/>
          <w:b/>
          <w:bCs/>
          <w:kern w:val="0"/>
          <w:sz w:val="20"/>
          <w:szCs w:val="20"/>
        </w:rPr>
        <w:t>4</w:t>
      </w:r>
      <w:r w:rsidRPr="008F3B09">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There is </w:t>
      </w:r>
      <w:r w:rsidRPr="008F3B09">
        <w:rPr>
          <w:rFonts w:ascii="Times New Roman" w:eastAsia="宋体" w:hAnsi="Times New Roman" w:cs="Times New Roman"/>
          <w:b/>
          <w:bCs/>
          <w:kern w:val="0"/>
          <w:sz w:val="20"/>
          <w:szCs w:val="20"/>
        </w:rPr>
        <w:t>PCI collision and PCI confusion if source cell of IAB-DU1 and target cell of IAB-DU2 use the same PCI</w:t>
      </w:r>
      <w:r>
        <w:rPr>
          <w:rFonts w:ascii="Times New Roman" w:eastAsia="宋体" w:hAnsi="Times New Roman" w:cs="Times New Roman"/>
          <w:b/>
          <w:bCs/>
          <w:kern w:val="0"/>
          <w:sz w:val="20"/>
          <w:szCs w:val="20"/>
        </w:rPr>
        <w:t xml:space="preserve"> in the same frequency band</w:t>
      </w:r>
      <w:r w:rsidRPr="008F3B09">
        <w:rPr>
          <w:rFonts w:ascii="Times New Roman" w:eastAsia="宋体" w:hAnsi="Times New Roman" w:cs="Times New Roman"/>
          <w:b/>
          <w:bCs/>
          <w:kern w:val="0"/>
          <w:sz w:val="20"/>
          <w:szCs w:val="20"/>
        </w:rPr>
        <w:t>.</w:t>
      </w:r>
    </w:p>
    <w:p w14:paraId="41576F1C" w14:textId="078E9CF3" w:rsidR="00C5589F" w:rsidRDefault="00C5589F" w:rsidP="00C5589F">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P</w:t>
      </w:r>
      <w:r>
        <w:rPr>
          <w:rFonts w:ascii="Times New Roman" w:eastAsia="宋体" w:hAnsi="Times New Roman" w:cs="Times New Roman"/>
          <w:b/>
          <w:bCs/>
          <w:kern w:val="0"/>
          <w:sz w:val="20"/>
          <w:szCs w:val="20"/>
        </w:rPr>
        <w:t xml:space="preserve">roposal </w:t>
      </w:r>
      <w:r w:rsidR="00440924">
        <w:rPr>
          <w:rFonts w:ascii="Times New Roman" w:eastAsia="宋体" w:hAnsi="Times New Roman" w:cs="Times New Roman"/>
          <w:b/>
          <w:bCs/>
          <w:kern w:val="0"/>
          <w:sz w:val="20"/>
          <w:szCs w:val="20"/>
        </w:rPr>
        <w:t>5</w:t>
      </w:r>
      <w:r>
        <w:rPr>
          <w:rFonts w:ascii="Times New Roman" w:eastAsia="宋体" w:hAnsi="Times New Roman" w:cs="Times New Roman"/>
          <w:b/>
          <w:bCs/>
          <w:kern w:val="0"/>
          <w:sz w:val="20"/>
          <w:szCs w:val="20"/>
        </w:rPr>
        <w:t>: Cells in logical IAB-DU2 shall be different to cells in logical IAB-DU1 in the same frequency band.</w:t>
      </w:r>
    </w:p>
    <w:p w14:paraId="524E647B" w14:textId="29CAAFE4" w:rsidR="00C5589F" w:rsidRDefault="00C5589F" w:rsidP="00C5589F">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bookmarkStart w:id="7" w:name="_Hlk110586860"/>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case of mobile IAB, the </w:t>
      </w:r>
      <w:r w:rsidR="006634DB">
        <w:rPr>
          <w:rFonts w:ascii="Times New Roman" w:eastAsia="宋体" w:hAnsi="Times New Roman" w:cs="Times New Roman"/>
          <w:kern w:val="0"/>
          <w:sz w:val="20"/>
          <w:szCs w:val="20"/>
        </w:rPr>
        <w:t xml:space="preserve">potential PCI collision </w:t>
      </w:r>
      <w:r>
        <w:rPr>
          <w:rFonts w:ascii="Times New Roman" w:eastAsia="宋体" w:hAnsi="Times New Roman" w:cs="Times New Roman"/>
          <w:kern w:val="0"/>
          <w:sz w:val="20"/>
          <w:szCs w:val="20"/>
        </w:rPr>
        <w:t xml:space="preserve">will </w:t>
      </w:r>
      <w:r w:rsidR="006634DB">
        <w:rPr>
          <w:rFonts w:ascii="Times New Roman" w:eastAsia="宋体" w:hAnsi="Times New Roman" w:cs="Times New Roman"/>
          <w:kern w:val="0"/>
          <w:sz w:val="20"/>
          <w:szCs w:val="20"/>
        </w:rPr>
        <w:t xml:space="preserve">be </w:t>
      </w:r>
      <w:r>
        <w:rPr>
          <w:rFonts w:ascii="Times New Roman" w:eastAsia="宋体" w:hAnsi="Times New Roman" w:cs="Times New Roman"/>
          <w:kern w:val="0"/>
          <w:sz w:val="20"/>
          <w:szCs w:val="20"/>
        </w:rPr>
        <w:t>further enlarge</w:t>
      </w:r>
      <w:r w:rsidR="006634DB">
        <w:rPr>
          <w:rFonts w:ascii="Times New Roman" w:eastAsia="宋体" w:hAnsi="Times New Roman" w:cs="Times New Roman"/>
          <w:kern w:val="0"/>
          <w:sz w:val="20"/>
          <w:szCs w:val="20"/>
        </w:rPr>
        <w:t>d</w:t>
      </w:r>
      <w:r>
        <w:rPr>
          <w:rFonts w:ascii="Times New Roman" w:eastAsia="宋体" w:hAnsi="Times New Roman" w:cs="Times New Roman"/>
          <w:kern w:val="0"/>
          <w:sz w:val="20"/>
          <w:szCs w:val="20"/>
        </w:rPr>
        <w:t xml:space="preserve"> due to the mobility of the mobile IAB-node.</w:t>
      </w:r>
      <w:r>
        <w:rPr>
          <w:rFonts w:ascii="Times New Roman" w:eastAsia="宋体" w:hAnsi="Times New Roman" w:cs="Times New Roman" w:hint="eastAsia"/>
          <w:kern w:val="0"/>
          <w:sz w:val="20"/>
          <w:szCs w:val="20"/>
        </w:rPr>
        <w:t xml:space="preserve"> H</w:t>
      </w:r>
      <w:r>
        <w:rPr>
          <w:rFonts w:ascii="Times New Roman" w:eastAsia="宋体" w:hAnsi="Times New Roman" w:cs="Times New Roman"/>
          <w:kern w:val="0"/>
          <w:sz w:val="20"/>
          <w:szCs w:val="20"/>
        </w:rPr>
        <w:t xml:space="preserve">owever, the cells of the IAB-DU are assigned by OAM, a simplest and straightforward way to avoid the potential PCI collision is to assign a separate set of PCIs used for mobile IAB-node by OAM. In this way, the PCI collision can be </w:t>
      </w:r>
      <w:r w:rsidRPr="0032139A">
        <w:rPr>
          <w:rFonts w:ascii="Times New Roman" w:eastAsia="宋体" w:hAnsi="Times New Roman" w:cs="Times New Roman"/>
          <w:kern w:val="0"/>
          <w:sz w:val="20"/>
          <w:szCs w:val="20"/>
        </w:rPr>
        <w:t>essentially</w:t>
      </w:r>
      <w:r>
        <w:rPr>
          <w:rFonts w:ascii="Times New Roman" w:eastAsia="宋体" w:hAnsi="Times New Roman" w:cs="Times New Roman"/>
          <w:kern w:val="0"/>
          <w:sz w:val="20"/>
          <w:szCs w:val="20"/>
        </w:rPr>
        <w:t xml:space="preserve"> resolved.</w:t>
      </w:r>
    </w:p>
    <w:bookmarkEnd w:id="7"/>
    <w:p w14:paraId="24719E53" w14:textId="027BFCEC" w:rsidR="00C5589F" w:rsidRDefault="00C5589F" w:rsidP="00C5589F">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Alternatively, the PCI </w:t>
      </w:r>
      <w:r w:rsidRPr="00F862A3">
        <w:rPr>
          <w:rFonts w:ascii="Times New Roman" w:eastAsia="宋体" w:hAnsi="Times New Roman" w:cs="Times New Roman"/>
          <w:kern w:val="0"/>
          <w:sz w:val="20"/>
          <w:szCs w:val="20"/>
        </w:rPr>
        <w:t>Optimi</w:t>
      </w:r>
      <w:r>
        <w:rPr>
          <w:rFonts w:ascii="Times New Roman" w:eastAsia="宋体" w:hAnsi="Times New Roman" w:cs="Times New Roman"/>
          <w:kern w:val="0"/>
          <w:sz w:val="20"/>
          <w:szCs w:val="20"/>
        </w:rPr>
        <w:t>s</w:t>
      </w:r>
      <w:r w:rsidRPr="00F862A3">
        <w:rPr>
          <w:rFonts w:ascii="Times New Roman" w:eastAsia="宋体" w:hAnsi="Times New Roman" w:cs="Times New Roman"/>
          <w:kern w:val="0"/>
          <w:sz w:val="20"/>
          <w:szCs w:val="20"/>
        </w:rPr>
        <w:t>ation Function</w:t>
      </w:r>
      <w:r>
        <w:rPr>
          <w:rFonts w:ascii="Times New Roman" w:eastAsia="宋体" w:hAnsi="Times New Roman" w:cs="Times New Roman"/>
          <w:kern w:val="0"/>
          <w:sz w:val="20"/>
          <w:szCs w:val="20"/>
        </w:rPr>
        <w:t xml:space="preserve"> specified in the R17 can be reused for mobile IAB-node if occurrence of PCI collision.</w:t>
      </w:r>
    </w:p>
    <w:p w14:paraId="7C8F187D" w14:textId="69A2A5C0" w:rsidR="00C5589F" w:rsidRPr="00440924" w:rsidRDefault="00C5589F" w:rsidP="00C5589F">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42219E">
        <w:rPr>
          <w:rFonts w:ascii="Times New Roman" w:eastAsia="宋体" w:hAnsi="Times New Roman" w:cs="Times New Roman" w:hint="eastAsia"/>
          <w:b/>
          <w:bCs/>
          <w:kern w:val="0"/>
          <w:sz w:val="20"/>
          <w:szCs w:val="20"/>
        </w:rPr>
        <w:t>P</w:t>
      </w:r>
      <w:r w:rsidRPr="0042219E">
        <w:rPr>
          <w:rFonts w:ascii="Times New Roman" w:eastAsia="宋体" w:hAnsi="Times New Roman" w:cs="Times New Roman"/>
          <w:b/>
          <w:bCs/>
          <w:kern w:val="0"/>
          <w:sz w:val="20"/>
          <w:szCs w:val="20"/>
        </w:rPr>
        <w:t xml:space="preserve">roposal </w:t>
      </w:r>
      <w:r w:rsidR="00440924">
        <w:rPr>
          <w:rFonts w:ascii="Times New Roman" w:eastAsia="宋体" w:hAnsi="Times New Roman" w:cs="Times New Roman"/>
          <w:b/>
          <w:bCs/>
          <w:kern w:val="0"/>
          <w:sz w:val="20"/>
          <w:szCs w:val="20"/>
        </w:rPr>
        <w:t>6</w:t>
      </w:r>
      <w:r w:rsidRPr="0042219E">
        <w:rPr>
          <w:rFonts w:ascii="Times New Roman" w:eastAsia="宋体" w:hAnsi="Times New Roman" w:cs="Times New Roman"/>
          <w:b/>
          <w:bCs/>
          <w:kern w:val="0"/>
          <w:sz w:val="20"/>
          <w:szCs w:val="20"/>
        </w:rPr>
        <w:t>: Reuse the PCI Optimisation Function as specified in R17 to resolve the PCI collision for mobile IAB-node.</w:t>
      </w:r>
    </w:p>
    <w:p w14:paraId="18AB8034" w14:textId="77777777" w:rsidR="00C5589F" w:rsidRPr="00024188" w:rsidRDefault="00C5589F" w:rsidP="00C5589F">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u w:val="single"/>
        </w:rPr>
      </w:pPr>
      <w:r>
        <w:rPr>
          <w:rFonts w:ascii="Times New Roman" w:eastAsia="宋体" w:hAnsi="Times New Roman" w:cs="Times New Roman"/>
          <w:b/>
          <w:bCs/>
          <w:kern w:val="0"/>
          <w:sz w:val="20"/>
          <w:szCs w:val="20"/>
          <w:u w:val="single"/>
        </w:rPr>
        <w:t>RACH</w:t>
      </w:r>
      <w:r w:rsidRPr="00024188">
        <w:rPr>
          <w:rFonts w:ascii="Times New Roman" w:eastAsia="宋体" w:hAnsi="Times New Roman" w:cs="Times New Roman"/>
          <w:b/>
          <w:bCs/>
          <w:kern w:val="0"/>
          <w:sz w:val="20"/>
          <w:szCs w:val="20"/>
          <w:u w:val="single"/>
        </w:rPr>
        <w:t xml:space="preserve"> collision</w:t>
      </w:r>
      <w:r>
        <w:rPr>
          <w:rFonts w:ascii="Times New Roman" w:eastAsia="宋体" w:hAnsi="Times New Roman" w:cs="Times New Roman"/>
          <w:b/>
          <w:bCs/>
          <w:kern w:val="0"/>
          <w:sz w:val="20"/>
          <w:szCs w:val="20"/>
          <w:u w:val="single"/>
        </w:rPr>
        <w:t xml:space="preserve"> of mobile IAB-node</w:t>
      </w:r>
    </w:p>
    <w:p w14:paraId="06620A0F" w14:textId="63C112FB" w:rsidR="00C5589F" w:rsidRDefault="00C5589F" w:rsidP="00C5589F">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n case of migration of mobile IAB-node, all related served UEs may handover from source IAB-DU1 to target IAB-DU2 in a short time period. So, there may have RACH resource collision due to the RACH storm of a great many UEs in this case. As discussed in another contribution [</w:t>
      </w:r>
      <w:r w:rsidR="001911F4">
        <w:rPr>
          <w:rFonts w:ascii="Times New Roman" w:eastAsia="宋体" w:hAnsi="Times New Roman" w:cs="Times New Roman"/>
          <w:kern w:val="0"/>
          <w:sz w:val="20"/>
          <w:szCs w:val="20"/>
        </w:rPr>
        <w:t>3</w:t>
      </w:r>
      <w:r>
        <w:rPr>
          <w:rFonts w:ascii="Times New Roman" w:eastAsia="宋体" w:hAnsi="Times New Roman" w:cs="Times New Roman"/>
          <w:kern w:val="0"/>
          <w:sz w:val="20"/>
          <w:szCs w:val="20"/>
        </w:rPr>
        <w:t>], since the served UEs still access to the mobile IAB-node during the full migration, the RACH procedure between the UEs and the mobile IAB-node may be skipped to reduce the latency of full migration. In other words, RACH-less handover for the served UEs can avoid the potential RACH collision due to mobile IAB-node mobility.</w:t>
      </w:r>
    </w:p>
    <w:p w14:paraId="7A2899A4" w14:textId="4A6B1ABB" w:rsidR="00C5589F" w:rsidRPr="00820313" w:rsidRDefault="00C5589F" w:rsidP="00C5589F">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820313">
        <w:rPr>
          <w:rFonts w:ascii="Times New Roman" w:eastAsia="宋体" w:hAnsi="Times New Roman" w:cs="Times New Roman" w:hint="eastAsia"/>
          <w:b/>
          <w:bCs/>
          <w:kern w:val="0"/>
          <w:sz w:val="20"/>
          <w:szCs w:val="20"/>
        </w:rPr>
        <w:t>O</w:t>
      </w:r>
      <w:r w:rsidRPr="00820313">
        <w:rPr>
          <w:rFonts w:ascii="Times New Roman" w:eastAsia="宋体" w:hAnsi="Times New Roman" w:cs="Times New Roman"/>
          <w:b/>
          <w:bCs/>
          <w:kern w:val="0"/>
          <w:sz w:val="20"/>
          <w:szCs w:val="20"/>
        </w:rPr>
        <w:t xml:space="preserve">bservation </w:t>
      </w:r>
      <w:r w:rsidR="00BB299E">
        <w:rPr>
          <w:rFonts w:ascii="Times New Roman" w:eastAsia="宋体" w:hAnsi="Times New Roman" w:cs="Times New Roman"/>
          <w:b/>
          <w:bCs/>
          <w:kern w:val="0"/>
          <w:sz w:val="20"/>
          <w:szCs w:val="20"/>
        </w:rPr>
        <w:t>5</w:t>
      </w:r>
      <w:r w:rsidRPr="00820313">
        <w:rPr>
          <w:rFonts w:ascii="Times New Roman" w:eastAsia="宋体" w:hAnsi="Times New Roman" w:cs="Times New Roman"/>
          <w:b/>
          <w:bCs/>
          <w:kern w:val="0"/>
          <w:sz w:val="20"/>
          <w:szCs w:val="20"/>
        </w:rPr>
        <w:t>: RACH-less handover for the served UEs can avoid the potential RACH collision due to mobile IAB-node mobility.</w:t>
      </w:r>
    </w:p>
    <w:p w14:paraId="029B31A0" w14:textId="1BE20255" w:rsidR="00C5589F" w:rsidRDefault="00C5589F" w:rsidP="00C5589F">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bookmarkStart w:id="8" w:name="_Hlk110587116"/>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f the served UEs of the mobile IAB-node </w:t>
      </w:r>
      <w:r w:rsidR="00CE3BB0">
        <w:rPr>
          <w:rFonts w:ascii="Times New Roman" w:eastAsia="宋体" w:hAnsi="Times New Roman" w:cs="Times New Roman"/>
          <w:kern w:val="0"/>
          <w:sz w:val="20"/>
          <w:szCs w:val="20"/>
        </w:rPr>
        <w:t xml:space="preserve">still </w:t>
      </w:r>
      <w:r>
        <w:rPr>
          <w:rFonts w:ascii="Times New Roman" w:eastAsia="宋体" w:hAnsi="Times New Roman" w:cs="Times New Roman"/>
          <w:kern w:val="0"/>
          <w:sz w:val="20"/>
          <w:szCs w:val="20"/>
        </w:rPr>
        <w:t xml:space="preserve">need to perform legacy handover which including RACH during full migration procedure. RACH resources for some of UEs may occur collision. However, since the RACH resources for the all served UEs are centralized configured by the IAB-donor-CU, and the IAB-donor-CU is able to schedule each UE to perform RACH in different time/frequency domain resource. In addition, group mobility is only considered for onboard UEs and </w:t>
      </w:r>
      <w:r>
        <w:rPr>
          <w:rFonts w:ascii="Times New Roman" w:eastAsia="宋体" w:hAnsi="Times New Roman" w:cs="Times New Roman" w:hint="eastAsia"/>
          <w:kern w:val="0"/>
          <w:sz w:val="20"/>
          <w:szCs w:val="20"/>
        </w:rPr>
        <w:t>n</w:t>
      </w:r>
      <w:r w:rsidRPr="00525376">
        <w:rPr>
          <w:rFonts w:ascii="Times New Roman" w:eastAsia="宋体" w:hAnsi="Times New Roman" w:cs="Times New Roman"/>
          <w:kern w:val="0"/>
          <w:sz w:val="20"/>
          <w:szCs w:val="20"/>
        </w:rPr>
        <w:t>o optimizations for surrounding UEs</w:t>
      </w:r>
      <w:r>
        <w:rPr>
          <w:rFonts w:ascii="Times New Roman" w:eastAsia="宋体" w:hAnsi="Times New Roman" w:cs="Times New Roman"/>
          <w:kern w:val="0"/>
          <w:sz w:val="20"/>
          <w:szCs w:val="20"/>
        </w:rPr>
        <w:t>.</w:t>
      </w:r>
      <w:r w:rsidRPr="00525376">
        <w:rPr>
          <w:rFonts w:ascii="Times New Roman" w:eastAsia="宋体" w:hAnsi="Times New Roman" w:cs="Times New Roman" w:hint="eastAsia"/>
          <w:kern w:val="0"/>
          <w:sz w:val="20"/>
          <w:szCs w:val="20"/>
        </w:rPr>
        <w:t xml:space="preserve"> </w:t>
      </w:r>
      <w:r w:rsidR="00CE3BB0">
        <w:rPr>
          <w:rFonts w:ascii="Times New Roman" w:eastAsia="宋体" w:hAnsi="Times New Roman" w:cs="Times New Roman"/>
          <w:kern w:val="0"/>
          <w:sz w:val="20"/>
          <w:szCs w:val="20"/>
        </w:rPr>
        <w:t>Moreover,</w:t>
      </w:r>
      <w:r>
        <w:rPr>
          <w:rFonts w:ascii="Times New Roman" w:eastAsia="宋体" w:hAnsi="Times New Roman" w:cs="Times New Roman"/>
          <w:kern w:val="0"/>
          <w:sz w:val="20"/>
          <w:szCs w:val="20"/>
        </w:rPr>
        <w:t xml:space="preserve"> this is not the specific case for mobile IAB-node, and it has been already discussed in other agenda items, e.g., NTN and MBS.</w:t>
      </w:r>
      <w:r>
        <w:rPr>
          <w:rFonts w:ascii="Times New Roman" w:eastAsia="宋体" w:hAnsi="Times New Roman" w:cs="Times New Roman" w:hint="eastAsia"/>
          <w:kern w:val="0"/>
          <w:sz w:val="20"/>
          <w:szCs w:val="20"/>
        </w:rPr>
        <w:t xml:space="preserve"> </w:t>
      </w:r>
      <w:r>
        <w:rPr>
          <w:rFonts w:ascii="Times New Roman" w:eastAsia="宋体" w:hAnsi="Times New Roman" w:cs="Times New Roman"/>
          <w:kern w:val="0"/>
          <w:sz w:val="20"/>
          <w:szCs w:val="20"/>
        </w:rPr>
        <w:t xml:space="preserve">Therefore, maybe RAN1 needs to firstly evaluate whether the </w:t>
      </w:r>
      <w:r w:rsidRPr="008F2DC7">
        <w:rPr>
          <w:rFonts w:ascii="Times New Roman" w:eastAsia="宋体" w:hAnsi="Times New Roman" w:cs="Times New Roman"/>
          <w:kern w:val="0"/>
          <w:sz w:val="20"/>
          <w:szCs w:val="20"/>
        </w:rPr>
        <w:t xml:space="preserve">legacy RACH configurations are sufficient for avoid RACH collision of </w:t>
      </w:r>
      <w:r>
        <w:rPr>
          <w:rFonts w:ascii="Times New Roman" w:eastAsia="宋体" w:hAnsi="Times New Roman" w:cs="Times New Roman"/>
          <w:kern w:val="0"/>
          <w:sz w:val="20"/>
          <w:szCs w:val="20"/>
        </w:rPr>
        <w:t>served</w:t>
      </w:r>
      <w:r w:rsidRPr="008F2DC7">
        <w:rPr>
          <w:rFonts w:ascii="Times New Roman" w:eastAsia="宋体" w:hAnsi="Times New Roman" w:cs="Times New Roman"/>
          <w:kern w:val="0"/>
          <w:sz w:val="20"/>
          <w:szCs w:val="20"/>
        </w:rPr>
        <w:t xml:space="preserve"> UEs</w:t>
      </w:r>
      <w:r>
        <w:rPr>
          <w:rFonts w:ascii="Times New Roman" w:eastAsia="宋体" w:hAnsi="Times New Roman" w:cs="Times New Roman"/>
          <w:kern w:val="0"/>
          <w:sz w:val="20"/>
          <w:szCs w:val="20"/>
        </w:rPr>
        <w:t xml:space="preserve"> of mobile IAB-node. And enhancements for RACH collision avoidance can be discussed later based on the feedback of the evaluation.</w:t>
      </w:r>
    </w:p>
    <w:bookmarkEnd w:id="8"/>
    <w:p w14:paraId="16CB8325" w14:textId="726EC3F2" w:rsidR="00C5589F" w:rsidRPr="00844B51" w:rsidRDefault="00C5589F" w:rsidP="00C5589F">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3B753E">
        <w:rPr>
          <w:rFonts w:ascii="Times New Roman" w:eastAsia="宋体" w:hAnsi="Times New Roman" w:cs="Times New Roman" w:hint="eastAsia"/>
          <w:b/>
          <w:bCs/>
          <w:kern w:val="0"/>
          <w:sz w:val="20"/>
          <w:szCs w:val="20"/>
        </w:rPr>
        <w:t>P</w:t>
      </w:r>
      <w:r w:rsidRPr="003B753E">
        <w:rPr>
          <w:rFonts w:ascii="Times New Roman" w:eastAsia="宋体" w:hAnsi="Times New Roman" w:cs="Times New Roman"/>
          <w:b/>
          <w:bCs/>
          <w:kern w:val="0"/>
          <w:sz w:val="20"/>
          <w:szCs w:val="20"/>
        </w:rPr>
        <w:t xml:space="preserve">roposal </w:t>
      </w:r>
      <w:r w:rsidR="00D05517">
        <w:rPr>
          <w:rFonts w:ascii="Times New Roman" w:eastAsia="宋体" w:hAnsi="Times New Roman" w:cs="Times New Roman"/>
          <w:b/>
          <w:bCs/>
          <w:kern w:val="0"/>
          <w:sz w:val="20"/>
          <w:szCs w:val="20"/>
        </w:rPr>
        <w:t>7</w:t>
      </w:r>
      <w:r w:rsidRPr="003B753E">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Ask </w:t>
      </w:r>
      <w:r w:rsidRPr="003B753E">
        <w:rPr>
          <w:rFonts w:ascii="Times New Roman" w:eastAsia="宋体" w:hAnsi="Times New Roman" w:cs="Times New Roman"/>
          <w:b/>
          <w:bCs/>
          <w:kern w:val="0"/>
          <w:sz w:val="20"/>
          <w:szCs w:val="20"/>
        </w:rPr>
        <w:t>RAN1 to firstly evaluate whether the legacy RACH configurations are sufficient for avoid RACH collision of served UEs of mobile IAB-node.</w:t>
      </w:r>
    </w:p>
    <w:p w14:paraId="7A1DA3AD" w14:textId="77777777" w:rsidR="00AA3FAE" w:rsidRPr="00AA3FAE" w:rsidRDefault="00AA3FAE" w:rsidP="00AA3FAE">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36"/>
          <w:lang w:val="en-GB"/>
        </w:rPr>
      </w:pPr>
      <w:r w:rsidRPr="00AA3FAE">
        <w:rPr>
          <w:rFonts w:ascii="Arial" w:eastAsia="宋体" w:hAnsi="Arial" w:cs="Times New Roman"/>
          <w:kern w:val="0"/>
          <w:sz w:val="36"/>
          <w:szCs w:val="36"/>
          <w:lang w:val="en-GB"/>
        </w:rPr>
        <w:t>Conclusion</w:t>
      </w:r>
    </w:p>
    <w:p w14:paraId="5E1D131E" w14:textId="501825EF" w:rsidR="00AA3FAE" w:rsidRDefault="00AA3FAE"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AA3FAE">
        <w:rPr>
          <w:rFonts w:ascii="Times New Roman" w:eastAsia="宋体" w:hAnsi="Times New Roman" w:cs="Times New Roman"/>
          <w:kern w:val="0"/>
          <w:sz w:val="20"/>
          <w:szCs w:val="20"/>
        </w:rPr>
        <w:t>Th</w:t>
      </w:r>
      <w:r w:rsidR="00F862F2">
        <w:rPr>
          <w:rFonts w:ascii="Times New Roman" w:eastAsia="宋体" w:hAnsi="Times New Roman" w:cs="Times New Roman"/>
          <w:kern w:val="0"/>
          <w:sz w:val="20"/>
          <w:szCs w:val="20"/>
        </w:rPr>
        <w:t xml:space="preserve">is contribution aims to </w:t>
      </w:r>
      <w:r w:rsidR="00AC214F">
        <w:rPr>
          <w:rFonts w:ascii="Times New Roman" w:eastAsia="宋体" w:hAnsi="Times New Roman" w:cs="Times New Roman"/>
          <w:kern w:val="0"/>
          <w:sz w:val="20"/>
          <w:szCs w:val="20"/>
        </w:rPr>
        <w:t xml:space="preserve">discuss </w:t>
      </w:r>
      <w:r w:rsidR="00AC214F">
        <w:rPr>
          <w:rFonts w:ascii="Times New Roman" w:eastAsia="宋体" w:hAnsi="Times New Roman" w:cs="Times New Roman" w:hint="eastAsia"/>
          <w:kern w:val="0"/>
          <w:sz w:val="20"/>
          <w:szCs w:val="20"/>
        </w:rPr>
        <w:t>e</w:t>
      </w:r>
      <w:r w:rsidR="00AC214F" w:rsidRPr="00853907">
        <w:rPr>
          <w:rFonts w:ascii="Times New Roman" w:eastAsia="宋体" w:hAnsi="Times New Roman" w:cs="Times New Roman"/>
          <w:kern w:val="0"/>
          <w:sz w:val="20"/>
          <w:szCs w:val="20"/>
        </w:rPr>
        <w:t xml:space="preserve">nhancements for </w:t>
      </w:r>
      <w:r w:rsidR="00424604">
        <w:rPr>
          <w:rFonts w:ascii="Times New Roman" w:eastAsia="宋体" w:hAnsi="Times New Roman" w:cs="Times New Roman"/>
          <w:kern w:val="0"/>
          <w:sz w:val="20"/>
          <w:szCs w:val="20"/>
        </w:rPr>
        <w:t>mobile IAB-node inter-donor full migration</w:t>
      </w:r>
      <w:r w:rsidR="00F862F2">
        <w:rPr>
          <w:rFonts w:ascii="Times New Roman" w:eastAsia="宋体" w:hAnsi="Times New Roman" w:cs="Times New Roman"/>
          <w:kern w:val="0"/>
          <w:sz w:val="20"/>
          <w:szCs w:val="20"/>
        </w:rPr>
        <w:t>. And following observations and proposals are concluded.</w:t>
      </w:r>
    </w:p>
    <w:p w14:paraId="6ED0A993" w14:textId="77777777" w:rsidR="008E161D" w:rsidRPr="00FF237F" w:rsidRDefault="008E161D" w:rsidP="00FF237F">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7A291D">
        <w:rPr>
          <w:rFonts w:ascii="Times New Roman" w:eastAsia="宋体" w:hAnsi="Times New Roman" w:cs="Times New Roman" w:hint="eastAsia"/>
          <w:b/>
          <w:bCs/>
          <w:kern w:val="0"/>
          <w:sz w:val="20"/>
          <w:szCs w:val="20"/>
        </w:rPr>
        <w:t>P</w:t>
      </w:r>
      <w:r w:rsidRPr="007A291D">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1</w:t>
      </w:r>
      <w:r w:rsidRPr="007A291D">
        <w:rPr>
          <w:rFonts w:ascii="Times New Roman" w:eastAsia="宋体" w:hAnsi="Times New Roman" w:cs="Times New Roman"/>
          <w:b/>
          <w:bCs/>
          <w:kern w:val="0"/>
          <w:sz w:val="20"/>
          <w:szCs w:val="20"/>
        </w:rPr>
        <w:t>: A mobile IAB-node can only connect directly to an IAB-donor.</w:t>
      </w:r>
    </w:p>
    <w:p w14:paraId="560654ED" w14:textId="77777777" w:rsidR="008E161D" w:rsidRDefault="008E161D" w:rsidP="00FF237F">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3820DA">
        <w:rPr>
          <w:rFonts w:ascii="Times New Roman" w:eastAsia="宋体" w:hAnsi="Times New Roman" w:cs="Times New Roman" w:hint="eastAsia"/>
          <w:b/>
          <w:bCs/>
          <w:kern w:val="0"/>
          <w:sz w:val="20"/>
          <w:szCs w:val="20"/>
        </w:rPr>
        <w:t>P</w:t>
      </w:r>
      <w:r w:rsidRPr="003820DA">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2</w:t>
      </w:r>
      <w:r w:rsidRPr="003820DA">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Mobile IAB-node only supports full migration and doesn’t support partial migration.</w:t>
      </w:r>
    </w:p>
    <w:p w14:paraId="4BF4F0EC" w14:textId="77777777" w:rsidR="008E161D" w:rsidRPr="001140E8" w:rsidRDefault="008E161D" w:rsidP="008E161D">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6863E6">
        <w:rPr>
          <w:rFonts w:ascii="Times New Roman" w:eastAsia="宋体" w:hAnsi="Times New Roman" w:cs="Times New Roman" w:hint="eastAsia"/>
          <w:b/>
          <w:bCs/>
          <w:kern w:val="0"/>
          <w:sz w:val="20"/>
          <w:szCs w:val="20"/>
        </w:rPr>
        <w:t>P</w:t>
      </w:r>
      <w:r w:rsidRPr="006863E6">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3</w:t>
      </w:r>
      <w:r w:rsidRPr="006863E6">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S</w:t>
      </w:r>
      <w:r w:rsidRPr="006863E6">
        <w:rPr>
          <w:rFonts w:ascii="Times New Roman" w:eastAsia="宋体" w:hAnsi="Times New Roman" w:cs="Times New Roman"/>
          <w:b/>
          <w:bCs/>
          <w:kern w:val="0"/>
          <w:sz w:val="20"/>
          <w:szCs w:val="20"/>
        </w:rPr>
        <w:t xml:space="preserve">tationary IAB-node </w:t>
      </w:r>
      <w:r>
        <w:rPr>
          <w:rFonts w:ascii="Times New Roman" w:eastAsia="宋体" w:hAnsi="Times New Roman" w:cs="Times New Roman"/>
          <w:b/>
          <w:bCs/>
          <w:kern w:val="0"/>
          <w:sz w:val="20"/>
          <w:szCs w:val="20"/>
        </w:rPr>
        <w:t xml:space="preserve">doesn’t </w:t>
      </w:r>
      <w:r w:rsidRPr="006863E6">
        <w:rPr>
          <w:rFonts w:ascii="Times New Roman" w:eastAsia="宋体" w:hAnsi="Times New Roman" w:cs="Times New Roman"/>
          <w:b/>
          <w:bCs/>
          <w:kern w:val="0"/>
          <w:sz w:val="20"/>
          <w:szCs w:val="20"/>
        </w:rPr>
        <w:t>support inter-donor full migration</w:t>
      </w:r>
      <w:r>
        <w:rPr>
          <w:rFonts w:ascii="Times New Roman" w:eastAsia="宋体" w:hAnsi="Times New Roman" w:cs="Times New Roman"/>
          <w:b/>
          <w:bCs/>
          <w:kern w:val="0"/>
          <w:sz w:val="20"/>
          <w:szCs w:val="20"/>
        </w:rPr>
        <w:t xml:space="preserve"> defined in R18</w:t>
      </w:r>
      <w:r w:rsidRPr="006863E6">
        <w:rPr>
          <w:rFonts w:ascii="Times New Roman" w:eastAsia="宋体" w:hAnsi="Times New Roman" w:cs="Times New Roman"/>
          <w:b/>
          <w:bCs/>
          <w:kern w:val="0"/>
          <w:sz w:val="20"/>
          <w:szCs w:val="20"/>
        </w:rPr>
        <w:t>.</w:t>
      </w:r>
    </w:p>
    <w:p w14:paraId="0ECB6BFF" w14:textId="77777777" w:rsidR="008E161D" w:rsidRDefault="008E161D" w:rsidP="008E161D">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9B24D3">
        <w:rPr>
          <w:rFonts w:ascii="Times New Roman" w:eastAsia="宋体" w:hAnsi="Times New Roman" w:cs="Times New Roman"/>
          <w:b/>
          <w:bCs/>
          <w:kern w:val="0"/>
          <w:sz w:val="20"/>
          <w:szCs w:val="20"/>
        </w:rPr>
        <w:t>Proposal 4: DL traffic differentiation for mobile IAB-node</w:t>
      </w:r>
      <w:r>
        <w:rPr>
          <w:rFonts w:ascii="Times New Roman" w:eastAsia="宋体" w:hAnsi="Times New Roman" w:cs="Times New Roman"/>
          <w:b/>
          <w:bCs/>
          <w:kern w:val="0"/>
          <w:sz w:val="20"/>
          <w:szCs w:val="20"/>
        </w:rPr>
        <w:t xml:space="preserve"> is</w:t>
      </w:r>
      <w:r w:rsidRPr="009B24D3">
        <w:rPr>
          <w:rFonts w:ascii="Times New Roman" w:eastAsia="宋体" w:hAnsi="Times New Roman" w:cs="Times New Roman"/>
          <w:b/>
          <w:bCs/>
          <w:kern w:val="0"/>
          <w:sz w:val="20"/>
          <w:szCs w:val="20"/>
        </w:rPr>
        <w:t xml:space="preserve"> based on different BAP addresses </w:t>
      </w:r>
      <w:r>
        <w:rPr>
          <w:rFonts w:ascii="Times New Roman" w:eastAsia="宋体" w:hAnsi="Times New Roman" w:cs="Times New Roman"/>
          <w:b/>
          <w:bCs/>
          <w:kern w:val="0"/>
          <w:sz w:val="20"/>
          <w:szCs w:val="20"/>
        </w:rPr>
        <w:t xml:space="preserve">or IP addresses </w:t>
      </w:r>
      <w:r w:rsidRPr="009B24D3">
        <w:rPr>
          <w:rFonts w:ascii="Times New Roman" w:eastAsia="宋体" w:hAnsi="Times New Roman" w:cs="Times New Roman"/>
          <w:b/>
          <w:bCs/>
          <w:kern w:val="0"/>
          <w:sz w:val="20"/>
          <w:szCs w:val="20"/>
        </w:rPr>
        <w:t>of two logical IAB-DUs.</w:t>
      </w:r>
    </w:p>
    <w:p w14:paraId="2CFADC72" w14:textId="77777777" w:rsidR="008E161D" w:rsidRDefault="008E161D" w:rsidP="008E161D">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P</w:t>
      </w:r>
      <w:r>
        <w:rPr>
          <w:rFonts w:ascii="Times New Roman" w:eastAsia="宋体" w:hAnsi="Times New Roman" w:cs="Times New Roman"/>
          <w:b/>
          <w:bCs/>
          <w:kern w:val="0"/>
          <w:sz w:val="20"/>
          <w:szCs w:val="20"/>
        </w:rPr>
        <w:t>roposal 5: Cells in logical IAB-DU2 shall be different to cells in logical IAB-DU1 in the same frequency band.</w:t>
      </w:r>
    </w:p>
    <w:p w14:paraId="2EE7CDD8" w14:textId="77777777" w:rsidR="008E161D" w:rsidRPr="00440924" w:rsidRDefault="008E161D" w:rsidP="008E161D">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42219E">
        <w:rPr>
          <w:rFonts w:ascii="Times New Roman" w:eastAsia="宋体" w:hAnsi="Times New Roman" w:cs="Times New Roman" w:hint="eastAsia"/>
          <w:b/>
          <w:bCs/>
          <w:kern w:val="0"/>
          <w:sz w:val="20"/>
          <w:szCs w:val="20"/>
        </w:rPr>
        <w:t>P</w:t>
      </w:r>
      <w:r w:rsidRPr="0042219E">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6</w:t>
      </w:r>
      <w:r w:rsidRPr="0042219E">
        <w:rPr>
          <w:rFonts w:ascii="Times New Roman" w:eastAsia="宋体" w:hAnsi="Times New Roman" w:cs="Times New Roman"/>
          <w:b/>
          <w:bCs/>
          <w:kern w:val="0"/>
          <w:sz w:val="20"/>
          <w:szCs w:val="20"/>
        </w:rPr>
        <w:t>: Reuse the PCI Optimisation Function as specified in R17 to resolve the PCI collision for mobile IAB-node.</w:t>
      </w:r>
    </w:p>
    <w:p w14:paraId="0DD09570" w14:textId="1601A57C" w:rsidR="008E161D" w:rsidRPr="00844B51" w:rsidRDefault="008E161D" w:rsidP="008E161D">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3B753E">
        <w:rPr>
          <w:rFonts w:ascii="Times New Roman" w:eastAsia="宋体" w:hAnsi="Times New Roman" w:cs="Times New Roman" w:hint="eastAsia"/>
          <w:b/>
          <w:bCs/>
          <w:kern w:val="0"/>
          <w:sz w:val="20"/>
          <w:szCs w:val="20"/>
        </w:rPr>
        <w:t>P</w:t>
      </w:r>
      <w:r w:rsidRPr="003B753E">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7</w:t>
      </w:r>
      <w:r w:rsidRPr="003B753E">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Ask </w:t>
      </w:r>
      <w:r w:rsidRPr="003B753E">
        <w:rPr>
          <w:rFonts w:ascii="Times New Roman" w:eastAsia="宋体" w:hAnsi="Times New Roman" w:cs="Times New Roman"/>
          <w:b/>
          <w:bCs/>
          <w:kern w:val="0"/>
          <w:sz w:val="20"/>
          <w:szCs w:val="20"/>
        </w:rPr>
        <w:t>RAN1 to firstly evaluate whether the legacy RACH configurations are sufficient for avoid RACH collision of served UEs of mobile IAB-node.</w:t>
      </w:r>
      <w:r>
        <w:rPr>
          <w:rFonts w:ascii="Times New Roman" w:eastAsia="宋体" w:hAnsi="Times New Roman" w:cs="Times New Roman"/>
          <w:b/>
          <w:bCs/>
          <w:kern w:val="0"/>
          <w:sz w:val="20"/>
          <w:szCs w:val="20"/>
        </w:rPr>
        <w:t xml:space="preserve"> </w:t>
      </w:r>
    </w:p>
    <w:p w14:paraId="1C734CA1" w14:textId="77777777" w:rsidR="00AA3FAE" w:rsidRPr="00AA3FAE" w:rsidRDefault="00AA3FAE" w:rsidP="00AA3FAE">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Dotum" w:hAnsi="Arial" w:cs="Times New Roman"/>
          <w:kern w:val="0"/>
          <w:sz w:val="36"/>
          <w:szCs w:val="36"/>
          <w:lang w:val="en-GB"/>
        </w:rPr>
      </w:pPr>
      <w:r w:rsidRPr="00AA3FAE">
        <w:rPr>
          <w:rFonts w:ascii="Arial" w:eastAsia="Dotum" w:hAnsi="Arial" w:cs="Times New Roman"/>
          <w:kern w:val="0"/>
          <w:sz w:val="36"/>
          <w:szCs w:val="36"/>
          <w:lang w:val="en-GB"/>
        </w:rPr>
        <w:lastRenderedPageBreak/>
        <w:t>Reference</w:t>
      </w:r>
    </w:p>
    <w:bookmarkEnd w:id="0"/>
    <w:bookmarkEnd w:id="1"/>
    <w:p w14:paraId="239817AB" w14:textId="01020586" w:rsidR="00A61DF4" w:rsidRDefault="00A61DF4" w:rsidP="00A61DF4">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 xml:space="preserve">RP-221815. </w:t>
      </w:r>
      <w:r w:rsidRPr="0079514C">
        <w:rPr>
          <w:rFonts w:ascii="Times New Roman" w:eastAsia="宋体" w:hAnsi="Times New Roman" w:cs="Times New Roman"/>
          <w:kern w:val="0"/>
          <w:sz w:val="20"/>
          <w:lang w:val="x-none"/>
        </w:rPr>
        <w:t>New WID on Mobile IAB</w:t>
      </w:r>
      <w:r>
        <w:rPr>
          <w:rFonts w:ascii="Times New Roman" w:eastAsia="宋体" w:hAnsi="Times New Roman" w:cs="Times New Roman"/>
          <w:kern w:val="0"/>
          <w:sz w:val="20"/>
          <w:lang w:val="x-none"/>
        </w:rPr>
        <w:t>.</w:t>
      </w:r>
    </w:p>
    <w:p w14:paraId="459A8D18" w14:textId="6785D94C" w:rsidR="001911F4" w:rsidRPr="001911F4" w:rsidRDefault="001911F4" w:rsidP="001911F4">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hint="eastAsia"/>
          <w:kern w:val="0"/>
          <w:sz w:val="20"/>
          <w:lang w:val="x-none"/>
        </w:rPr>
        <w:t>3</w:t>
      </w:r>
      <w:r>
        <w:rPr>
          <w:rFonts w:ascii="Times New Roman" w:eastAsia="宋体" w:hAnsi="Times New Roman" w:cs="Times New Roman"/>
          <w:kern w:val="0"/>
          <w:sz w:val="20"/>
          <w:lang w:val="x-none"/>
        </w:rPr>
        <w:t xml:space="preserve">GPP TS 38.340. </w:t>
      </w:r>
      <w:r w:rsidRPr="001911F4">
        <w:rPr>
          <w:rFonts w:ascii="Times New Roman" w:eastAsia="宋体" w:hAnsi="Times New Roman" w:cs="Times New Roman"/>
          <w:kern w:val="0"/>
          <w:sz w:val="20"/>
          <w:lang w:val="x-none"/>
        </w:rPr>
        <w:t>Backhaul Adaptation Protocol (BAP) specification</w:t>
      </w:r>
      <w:r>
        <w:rPr>
          <w:rFonts w:ascii="Times New Roman" w:eastAsia="宋体" w:hAnsi="Times New Roman" w:cs="Times New Roman" w:hint="eastAsia"/>
          <w:kern w:val="0"/>
          <w:sz w:val="20"/>
          <w:lang w:val="x-none"/>
        </w:rPr>
        <w:t xml:space="preserve"> </w:t>
      </w:r>
      <w:r w:rsidRPr="001911F4">
        <w:rPr>
          <w:rFonts w:ascii="Times New Roman" w:eastAsia="宋体" w:hAnsi="Times New Roman" w:cs="Times New Roman"/>
          <w:kern w:val="0"/>
          <w:sz w:val="20"/>
          <w:lang w:val="x-none"/>
        </w:rPr>
        <w:t>(Release 17)</w:t>
      </w:r>
      <w:r>
        <w:rPr>
          <w:rFonts w:ascii="Times New Roman" w:eastAsia="宋体" w:hAnsi="Times New Roman" w:cs="Times New Roman"/>
          <w:kern w:val="0"/>
          <w:sz w:val="20"/>
          <w:lang w:val="x-none"/>
        </w:rPr>
        <w:t>.</w:t>
      </w:r>
    </w:p>
    <w:p w14:paraId="7E72C195" w14:textId="474F30CF" w:rsidR="003E0958" w:rsidRPr="00776B55" w:rsidRDefault="00440924" w:rsidP="00A60CDE">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sidRPr="00776B55">
        <w:rPr>
          <w:rFonts w:ascii="Times New Roman" w:eastAsia="宋体" w:hAnsi="Times New Roman" w:cs="Times New Roman" w:hint="eastAsia"/>
          <w:kern w:val="0"/>
          <w:sz w:val="20"/>
          <w:lang w:val="x-none"/>
        </w:rPr>
        <w:t>R</w:t>
      </w:r>
      <w:r w:rsidR="006939ED" w:rsidRPr="00776B55">
        <w:rPr>
          <w:rFonts w:ascii="Times New Roman" w:eastAsia="宋体" w:hAnsi="Times New Roman" w:cs="Times New Roman"/>
          <w:kern w:val="0"/>
          <w:sz w:val="20"/>
          <w:lang w:val="x-none"/>
        </w:rPr>
        <w:t>2</w:t>
      </w:r>
      <w:r w:rsidRPr="00776B55">
        <w:rPr>
          <w:rFonts w:ascii="Times New Roman" w:eastAsia="宋体" w:hAnsi="Times New Roman" w:cs="Times New Roman"/>
          <w:kern w:val="0"/>
          <w:sz w:val="20"/>
          <w:lang w:val="x-none"/>
        </w:rPr>
        <w:t>-22</w:t>
      </w:r>
      <w:r w:rsidR="006939ED" w:rsidRPr="00776B55">
        <w:rPr>
          <w:rFonts w:ascii="Times New Roman" w:eastAsia="宋体" w:hAnsi="Times New Roman" w:cs="Times New Roman"/>
          <w:kern w:val="0"/>
          <w:sz w:val="20"/>
          <w:lang w:val="x-none"/>
        </w:rPr>
        <w:t>0</w:t>
      </w:r>
      <w:r w:rsidR="00776B55" w:rsidRPr="00776B55">
        <w:rPr>
          <w:rFonts w:ascii="Times New Roman" w:eastAsia="宋体" w:hAnsi="Times New Roman" w:cs="Times New Roman"/>
          <w:kern w:val="0"/>
          <w:sz w:val="20"/>
          <w:lang w:val="x-none"/>
        </w:rPr>
        <w:t>7708</w:t>
      </w:r>
      <w:r w:rsidRPr="00776B55">
        <w:rPr>
          <w:rFonts w:ascii="Times New Roman" w:eastAsia="宋体" w:hAnsi="Times New Roman" w:cs="Times New Roman"/>
          <w:kern w:val="0"/>
          <w:sz w:val="20"/>
          <w:lang w:val="x-none"/>
        </w:rPr>
        <w:t>. Mobility enhancements for mobile IAB-node and its served UE.</w:t>
      </w:r>
      <w:r w:rsidR="00F16F3F" w:rsidRPr="00776B55">
        <w:rPr>
          <w:rFonts w:ascii="Times New Roman" w:eastAsia="宋体" w:hAnsi="Times New Roman" w:cs="Times New Roman"/>
          <w:kern w:val="0"/>
          <w:sz w:val="20"/>
          <w:lang w:val="x-none"/>
        </w:rPr>
        <w:t xml:space="preserve"> Lenovo.</w:t>
      </w:r>
    </w:p>
    <w:sectPr w:rsidR="003E0958" w:rsidRPr="00776B55" w:rsidSect="0085683C">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8D3B4" w14:textId="77777777" w:rsidR="004772C1" w:rsidRDefault="004772C1" w:rsidP="00AA3FAE">
      <w:r>
        <w:separator/>
      </w:r>
    </w:p>
  </w:endnote>
  <w:endnote w:type="continuationSeparator" w:id="0">
    <w:p w14:paraId="68B5B8E7" w14:textId="77777777" w:rsidR="004772C1" w:rsidRDefault="004772C1"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11677" w14:textId="77777777" w:rsidR="00B41AA4" w:rsidRDefault="00FF2385">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B8774" w14:textId="77777777" w:rsidR="004772C1" w:rsidRDefault="004772C1" w:rsidP="00AA3FAE">
      <w:r>
        <w:separator/>
      </w:r>
    </w:p>
  </w:footnote>
  <w:footnote w:type="continuationSeparator" w:id="0">
    <w:p w14:paraId="5BA5CA3B" w14:textId="77777777" w:rsidR="004772C1" w:rsidRDefault="004772C1"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24677" w14:textId="77777777" w:rsidR="00B41AA4" w:rsidRDefault="00FF2385"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217E5"/>
    <w:multiLevelType w:val="hybridMultilevel"/>
    <w:tmpl w:val="AEFEBB4E"/>
    <w:lvl w:ilvl="0" w:tplc="0FE299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784D9D"/>
    <w:multiLevelType w:val="hybridMultilevel"/>
    <w:tmpl w:val="40D0D1F4"/>
    <w:lvl w:ilvl="0" w:tplc="94DC551A">
      <w:numFmt w:val="bullet"/>
      <w:lvlText w:val=""/>
      <w:lvlJc w:val="left"/>
      <w:pPr>
        <w:ind w:left="360" w:hanging="360"/>
      </w:pPr>
      <w:rPr>
        <w:rFonts w:ascii="Wingdings" w:eastAsia="宋体" w:hAnsi="Wingdings" w:cs="Times New Roman" w:hint="default"/>
        <w:b/>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54191B"/>
    <w:multiLevelType w:val="hybridMultilevel"/>
    <w:tmpl w:val="CFFEDC1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39C737C"/>
    <w:multiLevelType w:val="hybridMultilevel"/>
    <w:tmpl w:val="37923F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eastAsia"/>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6F449F6"/>
    <w:multiLevelType w:val="hybridMultilevel"/>
    <w:tmpl w:val="45E279C4"/>
    <w:lvl w:ilvl="0" w:tplc="08090001">
      <w:start w:val="1"/>
      <w:numFmt w:val="bullet"/>
      <w:lvlText w:val=""/>
      <w:lvlJc w:val="left"/>
      <w:pPr>
        <w:ind w:left="840" w:hanging="420"/>
      </w:pPr>
      <w:rPr>
        <w:rFonts w:ascii="Symbol" w:hAnsi="Symbol"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8AB5369"/>
    <w:multiLevelType w:val="hybridMultilevel"/>
    <w:tmpl w:val="C8AADF34"/>
    <w:lvl w:ilvl="0" w:tplc="817603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A287E82"/>
    <w:multiLevelType w:val="hybridMultilevel"/>
    <w:tmpl w:val="3312C4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9" w15:restartNumberingAfterBreak="0">
    <w:nsid w:val="39CB50B8"/>
    <w:multiLevelType w:val="hybridMultilevel"/>
    <w:tmpl w:val="F1CCA4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8856923"/>
    <w:multiLevelType w:val="hybridMultilevel"/>
    <w:tmpl w:val="71BA76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0A26513"/>
    <w:multiLevelType w:val="hybridMultilevel"/>
    <w:tmpl w:val="CD90B98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5A06A15"/>
    <w:multiLevelType w:val="hybridMultilevel"/>
    <w:tmpl w:val="0324F0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D354A5E"/>
    <w:multiLevelType w:val="hybridMultilevel"/>
    <w:tmpl w:val="8806D4AE"/>
    <w:lvl w:ilvl="0" w:tplc="0FE2991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780"/>
        </w:tabs>
        <w:ind w:left="780" w:hanging="360"/>
      </w:pPr>
      <w:rPr>
        <w:rFonts w:ascii="Symbol" w:hAnsi="Symbol" w:hint="default"/>
        <w:b/>
        <w:i w:val="0"/>
        <w:color w:val="auto"/>
        <w:sz w:val="22"/>
      </w:rPr>
    </w:lvl>
    <w:lvl w:ilvl="1" w:tplc="04090003">
      <w:start w:val="1"/>
      <w:numFmt w:val="bullet"/>
      <w:lvlText w:val="o"/>
      <w:lvlJc w:val="left"/>
      <w:pPr>
        <w:tabs>
          <w:tab w:val="num" w:pos="601"/>
        </w:tabs>
        <w:ind w:left="601" w:hanging="360"/>
      </w:pPr>
      <w:rPr>
        <w:rFonts w:ascii="Courier New" w:hAnsi="Courier New" w:cs="Courier New" w:hint="default"/>
      </w:rPr>
    </w:lvl>
    <w:lvl w:ilvl="2" w:tplc="04090005" w:tentative="1">
      <w:start w:val="1"/>
      <w:numFmt w:val="bullet"/>
      <w:lvlText w:val=""/>
      <w:lvlJc w:val="left"/>
      <w:pPr>
        <w:tabs>
          <w:tab w:val="num" w:pos="1321"/>
        </w:tabs>
        <w:ind w:left="1321" w:hanging="360"/>
      </w:pPr>
      <w:rPr>
        <w:rFonts w:ascii="Wingdings" w:hAnsi="Wingdings" w:hint="default"/>
      </w:rPr>
    </w:lvl>
    <w:lvl w:ilvl="3" w:tplc="04090001" w:tentative="1">
      <w:start w:val="1"/>
      <w:numFmt w:val="bullet"/>
      <w:lvlText w:val=""/>
      <w:lvlJc w:val="left"/>
      <w:pPr>
        <w:tabs>
          <w:tab w:val="num" w:pos="2041"/>
        </w:tabs>
        <w:ind w:left="2041" w:hanging="360"/>
      </w:pPr>
      <w:rPr>
        <w:rFonts w:ascii="Symbol" w:hAnsi="Symbol" w:hint="default"/>
      </w:rPr>
    </w:lvl>
    <w:lvl w:ilvl="4" w:tplc="04090003" w:tentative="1">
      <w:start w:val="1"/>
      <w:numFmt w:val="bullet"/>
      <w:lvlText w:val="o"/>
      <w:lvlJc w:val="left"/>
      <w:pPr>
        <w:tabs>
          <w:tab w:val="num" w:pos="2761"/>
        </w:tabs>
        <w:ind w:left="2761" w:hanging="360"/>
      </w:pPr>
      <w:rPr>
        <w:rFonts w:ascii="Courier New" w:hAnsi="Courier New" w:cs="Courier New" w:hint="default"/>
      </w:rPr>
    </w:lvl>
    <w:lvl w:ilvl="5" w:tplc="04090005" w:tentative="1">
      <w:start w:val="1"/>
      <w:numFmt w:val="bullet"/>
      <w:lvlText w:val=""/>
      <w:lvlJc w:val="left"/>
      <w:pPr>
        <w:tabs>
          <w:tab w:val="num" w:pos="3481"/>
        </w:tabs>
        <w:ind w:left="3481" w:hanging="360"/>
      </w:pPr>
      <w:rPr>
        <w:rFonts w:ascii="Wingdings" w:hAnsi="Wingdings" w:hint="default"/>
      </w:rPr>
    </w:lvl>
    <w:lvl w:ilvl="6" w:tplc="04090001" w:tentative="1">
      <w:start w:val="1"/>
      <w:numFmt w:val="bullet"/>
      <w:lvlText w:val=""/>
      <w:lvlJc w:val="left"/>
      <w:pPr>
        <w:tabs>
          <w:tab w:val="num" w:pos="4201"/>
        </w:tabs>
        <w:ind w:left="4201" w:hanging="360"/>
      </w:pPr>
      <w:rPr>
        <w:rFonts w:ascii="Symbol" w:hAnsi="Symbol" w:hint="default"/>
      </w:rPr>
    </w:lvl>
    <w:lvl w:ilvl="7" w:tplc="04090003" w:tentative="1">
      <w:start w:val="1"/>
      <w:numFmt w:val="bullet"/>
      <w:lvlText w:val="o"/>
      <w:lvlJc w:val="left"/>
      <w:pPr>
        <w:tabs>
          <w:tab w:val="num" w:pos="4921"/>
        </w:tabs>
        <w:ind w:left="4921" w:hanging="360"/>
      </w:pPr>
      <w:rPr>
        <w:rFonts w:ascii="Courier New" w:hAnsi="Courier New" w:cs="Courier New" w:hint="default"/>
      </w:rPr>
    </w:lvl>
    <w:lvl w:ilvl="8" w:tplc="04090005" w:tentative="1">
      <w:start w:val="1"/>
      <w:numFmt w:val="bullet"/>
      <w:lvlText w:val=""/>
      <w:lvlJc w:val="left"/>
      <w:pPr>
        <w:tabs>
          <w:tab w:val="num" w:pos="5641"/>
        </w:tabs>
        <w:ind w:left="5641" w:hanging="360"/>
      </w:pPr>
      <w:rPr>
        <w:rFonts w:ascii="Wingdings" w:hAnsi="Wingdings" w:hint="default"/>
      </w:rPr>
    </w:lvl>
  </w:abstractNum>
  <w:num w:numId="1">
    <w:abstractNumId w:val="8"/>
  </w:num>
  <w:num w:numId="2">
    <w:abstractNumId w:val="3"/>
  </w:num>
  <w:num w:numId="3">
    <w:abstractNumId w:val="2"/>
  </w:num>
  <w:num w:numId="4">
    <w:abstractNumId w:val="11"/>
  </w:num>
  <w:num w:numId="5">
    <w:abstractNumId w:val="6"/>
  </w:num>
  <w:num w:numId="6">
    <w:abstractNumId w:val="16"/>
  </w:num>
  <w:num w:numId="7">
    <w:abstractNumId w:val="13"/>
  </w:num>
  <w:num w:numId="8">
    <w:abstractNumId w:val="7"/>
  </w:num>
  <w:num w:numId="9">
    <w:abstractNumId w:val="0"/>
  </w:num>
  <w:num w:numId="10">
    <w:abstractNumId w:val="4"/>
  </w:num>
  <w:num w:numId="11">
    <w:abstractNumId w:val="9"/>
  </w:num>
  <w:num w:numId="12">
    <w:abstractNumId w:val="15"/>
  </w:num>
  <w:num w:numId="13">
    <w:abstractNumId w:val="10"/>
  </w:num>
  <w:num w:numId="14">
    <w:abstractNumId w:val="5"/>
  </w:num>
  <w:num w:numId="15">
    <w:abstractNumId w:val="1"/>
  </w:num>
  <w:num w:numId="16">
    <w:abstractNumId w:val="12"/>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0419"/>
    <w:rsid w:val="00004B28"/>
    <w:rsid w:val="00006633"/>
    <w:rsid w:val="0000703A"/>
    <w:rsid w:val="000078D6"/>
    <w:rsid w:val="000240AC"/>
    <w:rsid w:val="000277D7"/>
    <w:rsid w:val="00031147"/>
    <w:rsid w:val="00033584"/>
    <w:rsid w:val="00036BFD"/>
    <w:rsid w:val="00036C32"/>
    <w:rsid w:val="00036D3D"/>
    <w:rsid w:val="00037738"/>
    <w:rsid w:val="00037A2D"/>
    <w:rsid w:val="0004320E"/>
    <w:rsid w:val="00043B7B"/>
    <w:rsid w:val="000502FD"/>
    <w:rsid w:val="000505CB"/>
    <w:rsid w:val="00055D15"/>
    <w:rsid w:val="000566E1"/>
    <w:rsid w:val="00060A16"/>
    <w:rsid w:val="00064FA3"/>
    <w:rsid w:val="000676A1"/>
    <w:rsid w:val="0007088F"/>
    <w:rsid w:val="000723BB"/>
    <w:rsid w:val="00072574"/>
    <w:rsid w:val="000752E1"/>
    <w:rsid w:val="00080CC2"/>
    <w:rsid w:val="00082EC4"/>
    <w:rsid w:val="0008663F"/>
    <w:rsid w:val="00095BCA"/>
    <w:rsid w:val="000978FD"/>
    <w:rsid w:val="000A1873"/>
    <w:rsid w:val="000A4883"/>
    <w:rsid w:val="000B09C9"/>
    <w:rsid w:val="000B161E"/>
    <w:rsid w:val="000B1938"/>
    <w:rsid w:val="000B1D18"/>
    <w:rsid w:val="000B2144"/>
    <w:rsid w:val="000B6690"/>
    <w:rsid w:val="000C008E"/>
    <w:rsid w:val="000C0937"/>
    <w:rsid w:val="000C2AA4"/>
    <w:rsid w:val="000D18C1"/>
    <w:rsid w:val="000D2B2B"/>
    <w:rsid w:val="000D5753"/>
    <w:rsid w:val="000E15E2"/>
    <w:rsid w:val="000E5A48"/>
    <w:rsid w:val="000E7279"/>
    <w:rsid w:val="000F40EC"/>
    <w:rsid w:val="0010503F"/>
    <w:rsid w:val="001119CE"/>
    <w:rsid w:val="00111B28"/>
    <w:rsid w:val="00114A1F"/>
    <w:rsid w:val="00126DEE"/>
    <w:rsid w:val="00127B59"/>
    <w:rsid w:val="001305AC"/>
    <w:rsid w:val="001322B8"/>
    <w:rsid w:val="00134957"/>
    <w:rsid w:val="00135BED"/>
    <w:rsid w:val="00135C3C"/>
    <w:rsid w:val="00141555"/>
    <w:rsid w:val="00144C24"/>
    <w:rsid w:val="00152D85"/>
    <w:rsid w:val="001556FC"/>
    <w:rsid w:val="00157E02"/>
    <w:rsid w:val="00175A07"/>
    <w:rsid w:val="001826EA"/>
    <w:rsid w:val="00185A91"/>
    <w:rsid w:val="00190A87"/>
    <w:rsid w:val="00190FAF"/>
    <w:rsid w:val="001911F4"/>
    <w:rsid w:val="00191ACA"/>
    <w:rsid w:val="00193869"/>
    <w:rsid w:val="001A2383"/>
    <w:rsid w:val="001A344D"/>
    <w:rsid w:val="001A34F9"/>
    <w:rsid w:val="001A4C12"/>
    <w:rsid w:val="001A7350"/>
    <w:rsid w:val="001B1D5F"/>
    <w:rsid w:val="001B2FA1"/>
    <w:rsid w:val="001B3269"/>
    <w:rsid w:val="001B361E"/>
    <w:rsid w:val="001B4767"/>
    <w:rsid w:val="001B7E53"/>
    <w:rsid w:val="001C1DAB"/>
    <w:rsid w:val="001C473D"/>
    <w:rsid w:val="001D59CE"/>
    <w:rsid w:val="001D5F73"/>
    <w:rsid w:val="001D69F7"/>
    <w:rsid w:val="001D70B0"/>
    <w:rsid w:val="001F0BEA"/>
    <w:rsid w:val="001F1421"/>
    <w:rsid w:val="00212BCD"/>
    <w:rsid w:val="00212DB4"/>
    <w:rsid w:val="002136B8"/>
    <w:rsid w:val="002222FA"/>
    <w:rsid w:val="0023239F"/>
    <w:rsid w:val="00233615"/>
    <w:rsid w:val="002340BA"/>
    <w:rsid w:val="00234C75"/>
    <w:rsid w:val="00236172"/>
    <w:rsid w:val="00237A12"/>
    <w:rsid w:val="002428E4"/>
    <w:rsid w:val="0024433A"/>
    <w:rsid w:val="00245E3F"/>
    <w:rsid w:val="002500C6"/>
    <w:rsid w:val="00253AF0"/>
    <w:rsid w:val="002551E1"/>
    <w:rsid w:val="002561B6"/>
    <w:rsid w:val="00256265"/>
    <w:rsid w:val="00256FA7"/>
    <w:rsid w:val="00267070"/>
    <w:rsid w:val="00271E84"/>
    <w:rsid w:val="00273494"/>
    <w:rsid w:val="00276074"/>
    <w:rsid w:val="00276F97"/>
    <w:rsid w:val="002911AD"/>
    <w:rsid w:val="00296038"/>
    <w:rsid w:val="002A2C8B"/>
    <w:rsid w:val="002A52AF"/>
    <w:rsid w:val="002B110B"/>
    <w:rsid w:val="002B32DD"/>
    <w:rsid w:val="002C1AD2"/>
    <w:rsid w:val="002D4547"/>
    <w:rsid w:val="002D4BCF"/>
    <w:rsid w:val="002D4E9D"/>
    <w:rsid w:val="002E61C9"/>
    <w:rsid w:val="002E6200"/>
    <w:rsid w:val="002E692B"/>
    <w:rsid w:val="002E6AB3"/>
    <w:rsid w:val="002F4BF9"/>
    <w:rsid w:val="002F5ADB"/>
    <w:rsid w:val="002F7DD1"/>
    <w:rsid w:val="0030141D"/>
    <w:rsid w:val="00304AB3"/>
    <w:rsid w:val="0030768E"/>
    <w:rsid w:val="00311F6E"/>
    <w:rsid w:val="003179AD"/>
    <w:rsid w:val="00320179"/>
    <w:rsid w:val="00320565"/>
    <w:rsid w:val="00321461"/>
    <w:rsid w:val="0032189B"/>
    <w:rsid w:val="00330B37"/>
    <w:rsid w:val="00334DB1"/>
    <w:rsid w:val="00336D67"/>
    <w:rsid w:val="00340314"/>
    <w:rsid w:val="00341CB7"/>
    <w:rsid w:val="00342086"/>
    <w:rsid w:val="003420EE"/>
    <w:rsid w:val="00343CCD"/>
    <w:rsid w:val="00361C16"/>
    <w:rsid w:val="00365B8F"/>
    <w:rsid w:val="003679C3"/>
    <w:rsid w:val="00372A8A"/>
    <w:rsid w:val="00372D50"/>
    <w:rsid w:val="003731AF"/>
    <w:rsid w:val="0037446F"/>
    <w:rsid w:val="00375C4E"/>
    <w:rsid w:val="00380000"/>
    <w:rsid w:val="00384228"/>
    <w:rsid w:val="00390E2E"/>
    <w:rsid w:val="00390E73"/>
    <w:rsid w:val="00390FB4"/>
    <w:rsid w:val="003922D6"/>
    <w:rsid w:val="00392D92"/>
    <w:rsid w:val="00392F22"/>
    <w:rsid w:val="00394045"/>
    <w:rsid w:val="003953EC"/>
    <w:rsid w:val="00396E48"/>
    <w:rsid w:val="003A0B1A"/>
    <w:rsid w:val="003A4A2A"/>
    <w:rsid w:val="003A5735"/>
    <w:rsid w:val="003B4EC6"/>
    <w:rsid w:val="003B6F2C"/>
    <w:rsid w:val="003B6F44"/>
    <w:rsid w:val="003B717D"/>
    <w:rsid w:val="003B751D"/>
    <w:rsid w:val="003C2950"/>
    <w:rsid w:val="003C5399"/>
    <w:rsid w:val="003D1A4E"/>
    <w:rsid w:val="003D3860"/>
    <w:rsid w:val="003D3CD3"/>
    <w:rsid w:val="003D4A95"/>
    <w:rsid w:val="003E0958"/>
    <w:rsid w:val="003E1D22"/>
    <w:rsid w:val="003E3846"/>
    <w:rsid w:val="003E7CE1"/>
    <w:rsid w:val="003F3AFD"/>
    <w:rsid w:val="003F6ABF"/>
    <w:rsid w:val="0040415F"/>
    <w:rsid w:val="00406254"/>
    <w:rsid w:val="00412763"/>
    <w:rsid w:val="004136AB"/>
    <w:rsid w:val="00413FAB"/>
    <w:rsid w:val="00414D11"/>
    <w:rsid w:val="00415AD8"/>
    <w:rsid w:val="00415B4C"/>
    <w:rsid w:val="00415D56"/>
    <w:rsid w:val="00424604"/>
    <w:rsid w:val="004246D2"/>
    <w:rsid w:val="00427CB3"/>
    <w:rsid w:val="00430C1C"/>
    <w:rsid w:val="00432EC9"/>
    <w:rsid w:val="0043723B"/>
    <w:rsid w:val="00440924"/>
    <w:rsid w:val="00443070"/>
    <w:rsid w:val="0044584A"/>
    <w:rsid w:val="0044653C"/>
    <w:rsid w:val="00446F8F"/>
    <w:rsid w:val="004477D6"/>
    <w:rsid w:val="00450E5B"/>
    <w:rsid w:val="00452823"/>
    <w:rsid w:val="00454C6D"/>
    <w:rsid w:val="00457055"/>
    <w:rsid w:val="00463114"/>
    <w:rsid w:val="0046367F"/>
    <w:rsid w:val="00466B81"/>
    <w:rsid w:val="00471709"/>
    <w:rsid w:val="00471AD9"/>
    <w:rsid w:val="0047389C"/>
    <w:rsid w:val="004745FB"/>
    <w:rsid w:val="00475801"/>
    <w:rsid w:val="004772C1"/>
    <w:rsid w:val="004774BA"/>
    <w:rsid w:val="00486B2C"/>
    <w:rsid w:val="004927F4"/>
    <w:rsid w:val="00494DF4"/>
    <w:rsid w:val="00496030"/>
    <w:rsid w:val="004A0C67"/>
    <w:rsid w:val="004A1AEA"/>
    <w:rsid w:val="004A5C45"/>
    <w:rsid w:val="004C60BA"/>
    <w:rsid w:val="004C735E"/>
    <w:rsid w:val="004D32F2"/>
    <w:rsid w:val="004D4385"/>
    <w:rsid w:val="004D606F"/>
    <w:rsid w:val="004D62D5"/>
    <w:rsid w:val="004E3A43"/>
    <w:rsid w:val="004F61DC"/>
    <w:rsid w:val="004F74AE"/>
    <w:rsid w:val="005007D4"/>
    <w:rsid w:val="00502B78"/>
    <w:rsid w:val="005039F0"/>
    <w:rsid w:val="00512FC9"/>
    <w:rsid w:val="00513AA1"/>
    <w:rsid w:val="0051628D"/>
    <w:rsid w:val="0051755B"/>
    <w:rsid w:val="0052004E"/>
    <w:rsid w:val="00520A23"/>
    <w:rsid w:val="005240BC"/>
    <w:rsid w:val="0052635C"/>
    <w:rsid w:val="00530A86"/>
    <w:rsid w:val="00531B04"/>
    <w:rsid w:val="005349FC"/>
    <w:rsid w:val="00542B46"/>
    <w:rsid w:val="00544DED"/>
    <w:rsid w:val="00551CC7"/>
    <w:rsid w:val="00555FA0"/>
    <w:rsid w:val="00561831"/>
    <w:rsid w:val="00563788"/>
    <w:rsid w:val="00564234"/>
    <w:rsid w:val="005649E8"/>
    <w:rsid w:val="0057053B"/>
    <w:rsid w:val="00576785"/>
    <w:rsid w:val="00581A65"/>
    <w:rsid w:val="00581CF8"/>
    <w:rsid w:val="00585B50"/>
    <w:rsid w:val="00592A23"/>
    <w:rsid w:val="005948A9"/>
    <w:rsid w:val="005955C1"/>
    <w:rsid w:val="005963F4"/>
    <w:rsid w:val="005A382F"/>
    <w:rsid w:val="005A3D99"/>
    <w:rsid w:val="005A5B85"/>
    <w:rsid w:val="005A69FF"/>
    <w:rsid w:val="005A768A"/>
    <w:rsid w:val="005B2E70"/>
    <w:rsid w:val="005B5C3C"/>
    <w:rsid w:val="005B7C38"/>
    <w:rsid w:val="005C2CC5"/>
    <w:rsid w:val="005C3F0F"/>
    <w:rsid w:val="005C4076"/>
    <w:rsid w:val="005C506E"/>
    <w:rsid w:val="005C5C02"/>
    <w:rsid w:val="005D0B2C"/>
    <w:rsid w:val="005D39F4"/>
    <w:rsid w:val="005D4401"/>
    <w:rsid w:val="005D4C79"/>
    <w:rsid w:val="005D7561"/>
    <w:rsid w:val="005E2E23"/>
    <w:rsid w:val="005E3163"/>
    <w:rsid w:val="005E6FC3"/>
    <w:rsid w:val="005F5AC9"/>
    <w:rsid w:val="00603256"/>
    <w:rsid w:val="006125F9"/>
    <w:rsid w:val="00616F03"/>
    <w:rsid w:val="00617F75"/>
    <w:rsid w:val="00621AA7"/>
    <w:rsid w:val="0063053E"/>
    <w:rsid w:val="00632A49"/>
    <w:rsid w:val="0063482D"/>
    <w:rsid w:val="00637F05"/>
    <w:rsid w:val="00640255"/>
    <w:rsid w:val="006469D6"/>
    <w:rsid w:val="00653BB4"/>
    <w:rsid w:val="006571A2"/>
    <w:rsid w:val="00657FF9"/>
    <w:rsid w:val="006634DB"/>
    <w:rsid w:val="00664B31"/>
    <w:rsid w:val="00666EA1"/>
    <w:rsid w:val="00672C28"/>
    <w:rsid w:val="00673EB7"/>
    <w:rsid w:val="00674294"/>
    <w:rsid w:val="006800AE"/>
    <w:rsid w:val="006812B2"/>
    <w:rsid w:val="00684A23"/>
    <w:rsid w:val="0069000C"/>
    <w:rsid w:val="006931BD"/>
    <w:rsid w:val="006939ED"/>
    <w:rsid w:val="00696D8E"/>
    <w:rsid w:val="0069713B"/>
    <w:rsid w:val="00697690"/>
    <w:rsid w:val="006A0A85"/>
    <w:rsid w:val="006A22C3"/>
    <w:rsid w:val="006A7B11"/>
    <w:rsid w:val="006B2408"/>
    <w:rsid w:val="006B7D13"/>
    <w:rsid w:val="006C17A2"/>
    <w:rsid w:val="006C1F5B"/>
    <w:rsid w:val="006D463C"/>
    <w:rsid w:val="006D4F64"/>
    <w:rsid w:val="006D51EF"/>
    <w:rsid w:val="006D62EA"/>
    <w:rsid w:val="006D679C"/>
    <w:rsid w:val="006D6EE7"/>
    <w:rsid w:val="006E2F13"/>
    <w:rsid w:val="006E7CED"/>
    <w:rsid w:val="006E7F53"/>
    <w:rsid w:val="006F009A"/>
    <w:rsid w:val="006F3844"/>
    <w:rsid w:val="006F5211"/>
    <w:rsid w:val="006F718A"/>
    <w:rsid w:val="006F7948"/>
    <w:rsid w:val="006F7A32"/>
    <w:rsid w:val="00701C8C"/>
    <w:rsid w:val="007025DD"/>
    <w:rsid w:val="00703BAA"/>
    <w:rsid w:val="00706AEA"/>
    <w:rsid w:val="00707153"/>
    <w:rsid w:val="00707369"/>
    <w:rsid w:val="00711D23"/>
    <w:rsid w:val="00714F93"/>
    <w:rsid w:val="007158E6"/>
    <w:rsid w:val="00724078"/>
    <w:rsid w:val="007260FF"/>
    <w:rsid w:val="0073082C"/>
    <w:rsid w:val="00732338"/>
    <w:rsid w:val="00733434"/>
    <w:rsid w:val="00735937"/>
    <w:rsid w:val="0073758A"/>
    <w:rsid w:val="007514CB"/>
    <w:rsid w:val="00760B23"/>
    <w:rsid w:val="00764288"/>
    <w:rsid w:val="00766391"/>
    <w:rsid w:val="00776B55"/>
    <w:rsid w:val="0078172C"/>
    <w:rsid w:val="00785D79"/>
    <w:rsid w:val="007878A9"/>
    <w:rsid w:val="0079372C"/>
    <w:rsid w:val="0079429A"/>
    <w:rsid w:val="00797EC2"/>
    <w:rsid w:val="007A13C5"/>
    <w:rsid w:val="007A330F"/>
    <w:rsid w:val="007B510C"/>
    <w:rsid w:val="007C0DD9"/>
    <w:rsid w:val="007C2284"/>
    <w:rsid w:val="007C759A"/>
    <w:rsid w:val="007C7FDE"/>
    <w:rsid w:val="007D41EC"/>
    <w:rsid w:val="007D48BB"/>
    <w:rsid w:val="007E0AA7"/>
    <w:rsid w:val="007E213F"/>
    <w:rsid w:val="007E2405"/>
    <w:rsid w:val="007E2DF6"/>
    <w:rsid w:val="007F0740"/>
    <w:rsid w:val="007F25EF"/>
    <w:rsid w:val="007F30C7"/>
    <w:rsid w:val="007F34F0"/>
    <w:rsid w:val="007F7505"/>
    <w:rsid w:val="007F7E36"/>
    <w:rsid w:val="007F7F2C"/>
    <w:rsid w:val="00803FA0"/>
    <w:rsid w:val="00804083"/>
    <w:rsid w:val="00817607"/>
    <w:rsid w:val="00817BBD"/>
    <w:rsid w:val="00835D43"/>
    <w:rsid w:val="00841790"/>
    <w:rsid w:val="0084197E"/>
    <w:rsid w:val="0084480A"/>
    <w:rsid w:val="00846209"/>
    <w:rsid w:val="00856607"/>
    <w:rsid w:val="0085709E"/>
    <w:rsid w:val="00865BF3"/>
    <w:rsid w:val="008666A0"/>
    <w:rsid w:val="008703AE"/>
    <w:rsid w:val="0087634F"/>
    <w:rsid w:val="0087797E"/>
    <w:rsid w:val="00880DB1"/>
    <w:rsid w:val="008815B5"/>
    <w:rsid w:val="00882390"/>
    <w:rsid w:val="0088277A"/>
    <w:rsid w:val="00882FE4"/>
    <w:rsid w:val="00885223"/>
    <w:rsid w:val="00887CF9"/>
    <w:rsid w:val="00890562"/>
    <w:rsid w:val="00895539"/>
    <w:rsid w:val="00897B68"/>
    <w:rsid w:val="008A15DE"/>
    <w:rsid w:val="008A4F6F"/>
    <w:rsid w:val="008A6753"/>
    <w:rsid w:val="008A6990"/>
    <w:rsid w:val="008A6F6B"/>
    <w:rsid w:val="008B2BFF"/>
    <w:rsid w:val="008B37FF"/>
    <w:rsid w:val="008B5751"/>
    <w:rsid w:val="008C187A"/>
    <w:rsid w:val="008C2206"/>
    <w:rsid w:val="008E161D"/>
    <w:rsid w:val="008E1EF4"/>
    <w:rsid w:val="008E393F"/>
    <w:rsid w:val="008E7911"/>
    <w:rsid w:val="008F1CD9"/>
    <w:rsid w:val="008F4460"/>
    <w:rsid w:val="0090218F"/>
    <w:rsid w:val="00905280"/>
    <w:rsid w:val="00910096"/>
    <w:rsid w:val="00912BC3"/>
    <w:rsid w:val="00912CF1"/>
    <w:rsid w:val="00924A6E"/>
    <w:rsid w:val="009271BA"/>
    <w:rsid w:val="00927B05"/>
    <w:rsid w:val="009306C9"/>
    <w:rsid w:val="0093163A"/>
    <w:rsid w:val="00937E22"/>
    <w:rsid w:val="009460B5"/>
    <w:rsid w:val="0094767F"/>
    <w:rsid w:val="009479CD"/>
    <w:rsid w:val="0095125E"/>
    <w:rsid w:val="00952028"/>
    <w:rsid w:val="0095297E"/>
    <w:rsid w:val="009536EB"/>
    <w:rsid w:val="00956BED"/>
    <w:rsid w:val="0096468A"/>
    <w:rsid w:val="0096631C"/>
    <w:rsid w:val="0097141E"/>
    <w:rsid w:val="00971E58"/>
    <w:rsid w:val="0097259E"/>
    <w:rsid w:val="00982F4B"/>
    <w:rsid w:val="009862F0"/>
    <w:rsid w:val="009912C5"/>
    <w:rsid w:val="009A1EA2"/>
    <w:rsid w:val="009A2412"/>
    <w:rsid w:val="009A453C"/>
    <w:rsid w:val="009A5EA0"/>
    <w:rsid w:val="009B24D3"/>
    <w:rsid w:val="009B2CF8"/>
    <w:rsid w:val="009B4AB1"/>
    <w:rsid w:val="009C0AD1"/>
    <w:rsid w:val="009C718A"/>
    <w:rsid w:val="009D2CB6"/>
    <w:rsid w:val="009D661C"/>
    <w:rsid w:val="009E3E31"/>
    <w:rsid w:val="009E4A78"/>
    <w:rsid w:val="009E506A"/>
    <w:rsid w:val="009E64E0"/>
    <w:rsid w:val="009F010A"/>
    <w:rsid w:val="009F0D05"/>
    <w:rsid w:val="009F1A67"/>
    <w:rsid w:val="009F2104"/>
    <w:rsid w:val="00A0081A"/>
    <w:rsid w:val="00A00FB4"/>
    <w:rsid w:val="00A01408"/>
    <w:rsid w:val="00A02560"/>
    <w:rsid w:val="00A02807"/>
    <w:rsid w:val="00A20DFF"/>
    <w:rsid w:val="00A2451F"/>
    <w:rsid w:val="00A25C57"/>
    <w:rsid w:val="00A33FE5"/>
    <w:rsid w:val="00A407AC"/>
    <w:rsid w:val="00A51FC3"/>
    <w:rsid w:val="00A60CDE"/>
    <w:rsid w:val="00A61DF4"/>
    <w:rsid w:val="00A620B4"/>
    <w:rsid w:val="00A675C7"/>
    <w:rsid w:val="00A707C5"/>
    <w:rsid w:val="00A72210"/>
    <w:rsid w:val="00A75B82"/>
    <w:rsid w:val="00A765AC"/>
    <w:rsid w:val="00A76B80"/>
    <w:rsid w:val="00A83A17"/>
    <w:rsid w:val="00A85027"/>
    <w:rsid w:val="00A87E15"/>
    <w:rsid w:val="00A96D24"/>
    <w:rsid w:val="00AA0064"/>
    <w:rsid w:val="00AA2C1B"/>
    <w:rsid w:val="00AA333A"/>
    <w:rsid w:val="00AA3CB7"/>
    <w:rsid w:val="00AA3FAE"/>
    <w:rsid w:val="00AA43E5"/>
    <w:rsid w:val="00AA5BAF"/>
    <w:rsid w:val="00AA6DAB"/>
    <w:rsid w:val="00AA76D6"/>
    <w:rsid w:val="00AA7EAE"/>
    <w:rsid w:val="00AB304B"/>
    <w:rsid w:val="00AC214F"/>
    <w:rsid w:val="00AC3051"/>
    <w:rsid w:val="00AC6372"/>
    <w:rsid w:val="00AC7666"/>
    <w:rsid w:val="00AD301A"/>
    <w:rsid w:val="00AD75AE"/>
    <w:rsid w:val="00AE1953"/>
    <w:rsid w:val="00AE3826"/>
    <w:rsid w:val="00AE6011"/>
    <w:rsid w:val="00AE64E3"/>
    <w:rsid w:val="00AE6965"/>
    <w:rsid w:val="00AF1285"/>
    <w:rsid w:val="00AF2710"/>
    <w:rsid w:val="00B03F05"/>
    <w:rsid w:val="00B073B4"/>
    <w:rsid w:val="00B07D72"/>
    <w:rsid w:val="00B205DD"/>
    <w:rsid w:val="00B21144"/>
    <w:rsid w:val="00B21234"/>
    <w:rsid w:val="00B226EC"/>
    <w:rsid w:val="00B236AE"/>
    <w:rsid w:val="00B25068"/>
    <w:rsid w:val="00B25314"/>
    <w:rsid w:val="00B30D4C"/>
    <w:rsid w:val="00B33EE7"/>
    <w:rsid w:val="00B36BE9"/>
    <w:rsid w:val="00B36DB5"/>
    <w:rsid w:val="00B403D4"/>
    <w:rsid w:val="00B475EE"/>
    <w:rsid w:val="00B51988"/>
    <w:rsid w:val="00B5693F"/>
    <w:rsid w:val="00B63582"/>
    <w:rsid w:val="00B76C9C"/>
    <w:rsid w:val="00B80225"/>
    <w:rsid w:val="00B91029"/>
    <w:rsid w:val="00B936EA"/>
    <w:rsid w:val="00BA1A39"/>
    <w:rsid w:val="00BB03AA"/>
    <w:rsid w:val="00BB0704"/>
    <w:rsid w:val="00BB299E"/>
    <w:rsid w:val="00BC2F24"/>
    <w:rsid w:val="00BC5C55"/>
    <w:rsid w:val="00BC717B"/>
    <w:rsid w:val="00BD07F6"/>
    <w:rsid w:val="00BD3255"/>
    <w:rsid w:val="00BE3AF0"/>
    <w:rsid w:val="00BE3ECD"/>
    <w:rsid w:val="00BE56D3"/>
    <w:rsid w:val="00BE66BB"/>
    <w:rsid w:val="00BE7920"/>
    <w:rsid w:val="00C01CA9"/>
    <w:rsid w:val="00C0445B"/>
    <w:rsid w:val="00C07359"/>
    <w:rsid w:val="00C1498E"/>
    <w:rsid w:val="00C16F07"/>
    <w:rsid w:val="00C25C60"/>
    <w:rsid w:val="00C3047B"/>
    <w:rsid w:val="00C31487"/>
    <w:rsid w:val="00C33EEF"/>
    <w:rsid w:val="00C35774"/>
    <w:rsid w:val="00C447AC"/>
    <w:rsid w:val="00C448F4"/>
    <w:rsid w:val="00C472BE"/>
    <w:rsid w:val="00C50F28"/>
    <w:rsid w:val="00C53D68"/>
    <w:rsid w:val="00C5589F"/>
    <w:rsid w:val="00C61623"/>
    <w:rsid w:val="00C663F0"/>
    <w:rsid w:val="00C733E5"/>
    <w:rsid w:val="00C75852"/>
    <w:rsid w:val="00C758A1"/>
    <w:rsid w:val="00C81BA0"/>
    <w:rsid w:val="00C92F7E"/>
    <w:rsid w:val="00C93417"/>
    <w:rsid w:val="00C93460"/>
    <w:rsid w:val="00C97A48"/>
    <w:rsid w:val="00CA11A4"/>
    <w:rsid w:val="00CA2F8B"/>
    <w:rsid w:val="00CB3AF7"/>
    <w:rsid w:val="00CB5632"/>
    <w:rsid w:val="00CB786B"/>
    <w:rsid w:val="00CC03CF"/>
    <w:rsid w:val="00CC1A0C"/>
    <w:rsid w:val="00CC4341"/>
    <w:rsid w:val="00CC5834"/>
    <w:rsid w:val="00CC62E8"/>
    <w:rsid w:val="00CC72B0"/>
    <w:rsid w:val="00CD0C0C"/>
    <w:rsid w:val="00CD729C"/>
    <w:rsid w:val="00CE298A"/>
    <w:rsid w:val="00CE2EC2"/>
    <w:rsid w:val="00CE3BB0"/>
    <w:rsid w:val="00CE3E0A"/>
    <w:rsid w:val="00CE565B"/>
    <w:rsid w:val="00CE7C33"/>
    <w:rsid w:val="00CF2621"/>
    <w:rsid w:val="00CF477A"/>
    <w:rsid w:val="00CF4D2F"/>
    <w:rsid w:val="00CF781D"/>
    <w:rsid w:val="00D01B08"/>
    <w:rsid w:val="00D05517"/>
    <w:rsid w:val="00D104F6"/>
    <w:rsid w:val="00D114EA"/>
    <w:rsid w:val="00D13979"/>
    <w:rsid w:val="00D16925"/>
    <w:rsid w:val="00D20EDC"/>
    <w:rsid w:val="00D226CE"/>
    <w:rsid w:val="00D242C5"/>
    <w:rsid w:val="00D26BF2"/>
    <w:rsid w:val="00D26F6E"/>
    <w:rsid w:val="00D27F50"/>
    <w:rsid w:val="00D35939"/>
    <w:rsid w:val="00D43587"/>
    <w:rsid w:val="00D43FDB"/>
    <w:rsid w:val="00D45139"/>
    <w:rsid w:val="00D45C4F"/>
    <w:rsid w:val="00D526C9"/>
    <w:rsid w:val="00D533AB"/>
    <w:rsid w:val="00D5676C"/>
    <w:rsid w:val="00D57EF6"/>
    <w:rsid w:val="00D6107C"/>
    <w:rsid w:val="00D6139B"/>
    <w:rsid w:val="00D62FD5"/>
    <w:rsid w:val="00D635A8"/>
    <w:rsid w:val="00D73418"/>
    <w:rsid w:val="00D74DD4"/>
    <w:rsid w:val="00D75DA1"/>
    <w:rsid w:val="00D76F6E"/>
    <w:rsid w:val="00D801F5"/>
    <w:rsid w:val="00D851CA"/>
    <w:rsid w:val="00D85925"/>
    <w:rsid w:val="00D92865"/>
    <w:rsid w:val="00D92B14"/>
    <w:rsid w:val="00D95016"/>
    <w:rsid w:val="00D956D6"/>
    <w:rsid w:val="00D971A3"/>
    <w:rsid w:val="00D9742C"/>
    <w:rsid w:val="00DA0578"/>
    <w:rsid w:val="00DA6317"/>
    <w:rsid w:val="00DB020D"/>
    <w:rsid w:val="00DB113C"/>
    <w:rsid w:val="00DB22CF"/>
    <w:rsid w:val="00DB5E41"/>
    <w:rsid w:val="00DB659A"/>
    <w:rsid w:val="00DC0D46"/>
    <w:rsid w:val="00DC21C1"/>
    <w:rsid w:val="00DC2554"/>
    <w:rsid w:val="00DC27A2"/>
    <w:rsid w:val="00DC2B66"/>
    <w:rsid w:val="00DC3576"/>
    <w:rsid w:val="00DC494E"/>
    <w:rsid w:val="00DC4A89"/>
    <w:rsid w:val="00DD487E"/>
    <w:rsid w:val="00DD4A2B"/>
    <w:rsid w:val="00DD4FF8"/>
    <w:rsid w:val="00DE15ED"/>
    <w:rsid w:val="00DE44DC"/>
    <w:rsid w:val="00DF1E8D"/>
    <w:rsid w:val="00DF66F0"/>
    <w:rsid w:val="00DF6E59"/>
    <w:rsid w:val="00E00799"/>
    <w:rsid w:val="00E00E64"/>
    <w:rsid w:val="00E026F9"/>
    <w:rsid w:val="00E053C3"/>
    <w:rsid w:val="00E06C9B"/>
    <w:rsid w:val="00E13436"/>
    <w:rsid w:val="00E22EFA"/>
    <w:rsid w:val="00E2767D"/>
    <w:rsid w:val="00E27EA4"/>
    <w:rsid w:val="00E345CB"/>
    <w:rsid w:val="00E3573E"/>
    <w:rsid w:val="00E45A53"/>
    <w:rsid w:val="00E51052"/>
    <w:rsid w:val="00E52A20"/>
    <w:rsid w:val="00E531B2"/>
    <w:rsid w:val="00E55D1E"/>
    <w:rsid w:val="00E5758C"/>
    <w:rsid w:val="00E62A8E"/>
    <w:rsid w:val="00E673B3"/>
    <w:rsid w:val="00E67471"/>
    <w:rsid w:val="00E730BA"/>
    <w:rsid w:val="00E75FF9"/>
    <w:rsid w:val="00E8113F"/>
    <w:rsid w:val="00E86B58"/>
    <w:rsid w:val="00E87FD6"/>
    <w:rsid w:val="00E96256"/>
    <w:rsid w:val="00EA7B56"/>
    <w:rsid w:val="00EB0F40"/>
    <w:rsid w:val="00EB1001"/>
    <w:rsid w:val="00EB4E5F"/>
    <w:rsid w:val="00EB6CFC"/>
    <w:rsid w:val="00EC0046"/>
    <w:rsid w:val="00EC51EB"/>
    <w:rsid w:val="00EC77A0"/>
    <w:rsid w:val="00EE1F08"/>
    <w:rsid w:val="00EE29DC"/>
    <w:rsid w:val="00EE3198"/>
    <w:rsid w:val="00EE4061"/>
    <w:rsid w:val="00EE4D51"/>
    <w:rsid w:val="00EE70D6"/>
    <w:rsid w:val="00EF0E7E"/>
    <w:rsid w:val="00EF576D"/>
    <w:rsid w:val="00EF57C9"/>
    <w:rsid w:val="00F00BFF"/>
    <w:rsid w:val="00F017C8"/>
    <w:rsid w:val="00F02CF5"/>
    <w:rsid w:val="00F03209"/>
    <w:rsid w:val="00F0569A"/>
    <w:rsid w:val="00F06A89"/>
    <w:rsid w:val="00F06CD6"/>
    <w:rsid w:val="00F119B3"/>
    <w:rsid w:val="00F15BDB"/>
    <w:rsid w:val="00F16F3F"/>
    <w:rsid w:val="00F23F71"/>
    <w:rsid w:val="00F2498B"/>
    <w:rsid w:val="00F27DE5"/>
    <w:rsid w:val="00F35A58"/>
    <w:rsid w:val="00F376F2"/>
    <w:rsid w:val="00F37BD9"/>
    <w:rsid w:val="00F41CAD"/>
    <w:rsid w:val="00F437EA"/>
    <w:rsid w:val="00F52357"/>
    <w:rsid w:val="00F55239"/>
    <w:rsid w:val="00F56AEB"/>
    <w:rsid w:val="00F56B33"/>
    <w:rsid w:val="00F572B4"/>
    <w:rsid w:val="00F6131B"/>
    <w:rsid w:val="00F62D40"/>
    <w:rsid w:val="00F65F71"/>
    <w:rsid w:val="00F7376B"/>
    <w:rsid w:val="00F75A55"/>
    <w:rsid w:val="00F769C9"/>
    <w:rsid w:val="00F77E5C"/>
    <w:rsid w:val="00F862F2"/>
    <w:rsid w:val="00F90279"/>
    <w:rsid w:val="00F910F0"/>
    <w:rsid w:val="00F91AD1"/>
    <w:rsid w:val="00FA19E0"/>
    <w:rsid w:val="00FA25E1"/>
    <w:rsid w:val="00FA440F"/>
    <w:rsid w:val="00FC144A"/>
    <w:rsid w:val="00FC1D89"/>
    <w:rsid w:val="00FC4A3C"/>
    <w:rsid w:val="00FC6BB4"/>
    <w:rsid w:val="00FE008A"/>
    <w:rsid w:val="00FE259C"/>
    <w:rsid w:val="00FE796C"/>
    <w:rsid w:val="00FF1C80"/>
    <w:rsid w:val="00FF237F"/>
    <w:rsid w:val="00FF2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next w:val="a"/>
    <w:link w:val="20"/>
    <w:uiPriority w:val="9"/>
    <w:semiHidden/>
    <w:unhideWhenUsed/>
    <w:qFormat/>
    <w:rsid w:val="001911F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semiHidden/>
    <w:unhideWhenUsed/>
    <w:qFormat/>
    <w:rsid w:val="001911F4"/>
    <w:pPr>
      <w:widowControl/>
      <w:overflowPunct w:val="0"/>
      <w:autoSpaceDE w:val="0"/>
      <w:autoSpaceDN w:val="0"/>
      <w:adjustRightInd w:val="0"/>
      <w:spacing w:before="120" w:after="180" w:line="240" w:lineRule="auto"/>
      <w:ind w:left="1134" w:hanging="1134"/>
      <w:jc w:val="left"/>
      <w:outlineLvl w:val="2"/>
    </w:pPr>
    <w:rPr>
      <w:rFonts w:ascii="Arial" w:eastAsia="Times New Roman" w:hAnsi="Arial" w:cs="Times New Roman"/>
      <w:b w:val="0"/>
      <w:bCs w:val="0"/>
      <w:kern w:val="0"/>
      <w:sz w:val="28"/>
      <w:szCs w:val="20"/>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tabs>
        <w:tab w:val="center" w:pos="4153"/>
        <w:tab w:val="right" w:pos="8306"/>
      </w:tabs>
      <w:snapToGrid w:val="0"/>
      <w:jc w:val="left"/>
    </w:pPr>
    <w:rPr>
      <w:sz w:val="18"/>
      <w:szCs w:val="18"/>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rPr>
      <w:sz w:val="18"/>
      <w:szCs w:val="18"/>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064FA3"/>
    <w:pPr>
      <w:ind w:firstLineChars="200" w:firstLine="420"/>
    </w:pPr>
  </w:style>
  <w:style w:type="paragraph" w:styleId="ad">
    <w:name w:val="annotation text"/>
    <w:basedOn w:val="a"/>
    <w:link w:val="ae"/>
    <w:uiPriority w:val="99"/>
    <w:semiHidden/>
    <w:unhideWhenUsed/>
    <w:rsid w:val="00AF2710"/>
    <w:pPr>
      <w:jc w:val="left"/>
    </w:pPr>
  </w:style>
  <w:style w:type="character" w:customStyle="1" w:styleId="ae">
    <w:name w:val="批注文字 字符"/>
    <w:basedOn w:val="a0"/>
    <w:link w:val="ad"/>
    <w:uiPriority w:val="99"/>
    <w:semiHidden/>
    <w:rsid w:val="00AF2710"/>
  </w:style>
  <w:style w:type="paragraph" w:styleId="af">
    <w:name w:val="annotation subject"/>
    <w:basedOn w:val="ad"/>
    <w:next w:val="ad"/>
    <w:link w:val="af0"/>
    <w:uiPriority w:val="99"/>
    <w:semiHidden/>
    <w:unhideWhenUsed/>
    <w:rsid w:val="00AF2710"/>
    <w:rPr>
      <w:b/>
      <w:bCs/>
    </w:rPr>
  </w:style>
  <w:style w:type="character" w:customStyle="1" w:styleId="af0">
    <w:name w:val="批注主题 字符"/>
    <w:basedOn w:val="ae"/>
    <w:link w:val="af"/>
    <w:uiPriority w:val="99"/>
    <w:semiHidden/>
    <w:rsid w:val="00AF2710"/>
    <w:rPr>
      <w:b/>
      <w:bCs/>
    </w:rPr>
  </w:style>
  <w:style w:type="paragraph" w:customStyle="1" w:styleId="Agreement">
    <w:name w:val="Agreement"/>
    <w:basedOn w:val="a"/>
    <w:next w:val="a"/>
    <w:qFormat/>
    <w:rsid w:val="00927B05"/>
    <w:pPr>
      <w:widowControl/>
      <w:numPr>
        <w:numId w:val="6"/>
      </w:numPr>
      <w:spacing w:before="60"/>
      <w:jc w:val="left"/>
    </w:pPr>
    <w:rPr>
      <w:rFonts w:ascii="Arial" w:eastAsia="MS Mincho" w:hAnsi="Arial" w:cs="Times New Roman"/>
      <w:b/>
      <w:kern w:val="0"/>
      <w:sz w:val="20"/>
      <w:szCs w:val="24"/>
      <w:lang w:val="en-GB" w:eastAsia="en-GB"/>
    </w:rPr>
  </w:style>
  <w:style w:type="paragraph" w:customStyle="1" w:styleId="B1">
    <w:name w:val="B1"/>
    <w:basedOn w:val="af1"/>
    <w:link w:val="B1Char1"/>
    <w:rsid w:val="00B80225"/>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paragraph" w:customStyle="1" w:styleId="B2">
    <w:name w:val="B2"/>
    <w:basedOn w:val="21"/>
    <w:link w:val="B2Char"/>
    <w:rsid w:val="00B80225"/>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locked/>
    <w:rsid w:val="00B80225"/>
    <w:rPr>
      <w:rFonts w:ascii="Times New Roman" w:eastAsia="Times New Roman" w:hAnsi="Times New Roman" w:cs="Times New Roman"/>
      <w:kern w:val="0"/>
      <w:sz w:val="20"/>
      <w:szCs w:val="20"/>
      <w:lang w:val="en-GB" w:eastAsia="ja-JP"/>
    </w:rPr>
  </w:style>
  <w:style w:type="character" w:customStyle="1" w:styleId="B2Char">
    <w:name w:val="B2 Char"/>
    <w:link w:val="B2"/>
    <w:qFormat/>
    <w:locked/>
    <w:rsid w:val="00B80225"/>
    <w:rPr>
      <w:rFonts w:ascii="Times New Roman" w:eastAsia="Times New Roman" w:hAnsi="Times New Roman" w:cs="Times New Roman"/>
      <w:kern w:val="0"/>
      <w:sz w:val="20"/>
      <w:szCs w:val="20"/>
      <w:lang w:val="en-GB" w:eastAsia="ja-JP"/>
    </w:rPr>
  </w:style>
  <w:style w:type="paragraph" w:styleId="af1">
    <w:name w:val="List"/>
    <w:basedOn w:val="a"/>
    <w:uiPriority w:val="99"/>
    <w:semiHidden/>
    <w:unhideWhenUsed/>
    <w:rsid w:val="00B80225"/>
    <w:pPr>
      <w:ind w:left="200" w:hangingChars="200" w:hanging="200"/>
      <w:contextualSpacing/>
    </w:pPr>
  </w:style>
  <w:style w:type="paragraph" w:styleId="21">
    <w:name w:val="List 2"/>
    <w:basedOn w:val="a"/>
    <w:uiPriority w:val="99"/>
    <w:semiHidden/>
    <w:unhideWhenUsed/>
    <w:rsid w:val="00B80225"/>
    <w:pPr>
      <w:ind w:leftChars="200" w:left="100" w:hangingChars="200" w:hanging="200"/>
      <w:contextualSpacing/>
    </w:pPr>
  </w:style>
  <w:style w:type="paragraph" w:styleId="af2">
    <w:name w:val="Normal (Web)"/>
    <w:basedOn w:val="a"/>
    <w:uiPriority w:val="99"/>
    <w:semiHidden/>
    <w:unhideWhenUsed/>
    <w:rsid w:val="003C5399"/>
    <w:pPr>
      <w:widowControl/>
      <w:spacing w:before="100" w:beforeAutospacing="1" w:after="100" w:afterAutospacing="1"/>
      <w:jc w:val="left"/>
    </w:pPr>
    <w:rPr>
      <w:rFonts w:ascii="宋体" w:eastAsia="宋体" w:hAnsi="宋体" w:cs="宋体"/>
      <w:kern w:val="0"/>
      <w:sz w:val="24"/>
      <w:szCs w:val="24"/>
    </w:rPr>
  </w:style>
  <w:style w:type="character" w:customStyle="1" w:styleId="30">
    <w:name w:val="标题 3 字符"/>
    <w:basedOn w:val="a0"/>
    <w:link w:val="3"/>
    <w:semiHidden/>
    <w:rsid w:val="001911F4"/>
    <w:rPr>
      <w:rFonts w:ascii="Arial" w:eastAsia="Times New Roman" w:hAnsi="Arial" w:cs="Times New Roman"/>
      <w:kern w:val="0"/>
      <w:sz w:val="28"/>
      <w:szCs w:val="20"/>
      <w:lang w:val="en-GB" w:eastAsia="ja-JP"/>
    </w:rPr>
  </w:style>
  <w:style w:type="character" w:customStyle="1" w:styleId="20">
    <w:name w:val="标题 2 字符"/>
    <w:basedOn w:val="a0"/>
    <w:link w:val="2"/>
    <w:uiPriority w:val="9"/>
    <w:semiHidden/>
    <w:rsid w:val="001911F4"/>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06155">
      <w:bodyDiv w:val="1"/>
      <w:marLeft w:val="0"/>
      <w:marRight w:val="0"/>
      <w:marTop w:val="0"/>
      <w:marBottom w:val="0"/>
      <w:divBdr>
        <w:top w:val="none" w:sz="0" w:space="0" w:color="auto"/>
        <w:left w:val="none" w:sz="0" w:space="0" w:color="auto"/>
        <w:bottom w:val="none" w:sz="0" w:space="0" w:color="auto"/>
        <w:right w:val="none" w:sz="0" w:space="0" w:color="auto"/>
      </w:divBdr>
    </w:div>
    <w:div w:id="521670414">
      <w:bodyDiv w:val="1"/>
      <w:marLeft w:val="0"/>
      <w:marRight w:val="0"/>
      <w:marTop w:val="0"/>
      <w:marBottom w:val="0"/>
      <w:divBdr>
        <w:top w:val="none" w:sz="0" w:space="0" w:color="auto"/>
        <w:left w:val="none" w:sz="0" w:space="0" w:color="auto"/>
        <w:bottom w:val="none" w:sz="0" w:space="0" w:color="auto"/>
        <w:right w:val="none" w:sz="0" w:space="0" w:color="auto"/>
      </w:divBdr>
    </w:div>
    <w:div w:id="901251455">
      <w:bodyDiv w:val="1"/>
      <w:marLeft w:val="0"/>
      <w:marRight w:val="0"/>
      <w:marTop w:val="0"/>
      <w:marBottom w:val="0"/>
      <w:divBdr>
        <w:top w:val="none" w:sz="0" w:space="0" w:color="auto"/>
        <w:left w:val="none" w:sz="0" w:space="0" w:color="auto"/>
        <w:bottom w:val="none" w:sz="0" w:space="0" w:color="auto"/>
        <w:right w:val="none" w:sz="0" w:space="0" w:color="auto"/>
      </w:divBdr>
    </w:div>
    <w:div w:id="1132601261">
      <w:bodyDiv w:val="1"/>
      <w:marLeft w:val="0"/>
      <w:marRight w:val="0"/>
      <w:marTop w:val="0"/>
      <w:marBottom w:val="0"/>
      <w:divBdr>
        <w:top w:val="none" w:sz="0" w:space="0" w:color="auto"/>
        <w:left w:val="none" w:sz="0" w:space="0" w:color="auto"/>
        <w:bottom w:val="none" w:sz="0" w:space="0" w:color="auto"/>
        <w:right w:val="none" w:sz="0" w:space="0" w:color="auto"/>
      </w:divBdr>
    </w:div>
    <w:div w:id="1349791408">
      <w:bodyDiv w:val="1"/>
      <w:marLeft w:val="0"/>
      <w:marRight w:val="0"/>
      <w:marTop w:val="0"/>
      <w:marBottom w:val="0"/>
      <w:divBdr>
        <w:top w:val="none" w:sz="0" w:space="0" w:color="auto"/>
        <w:left w:val="none" w:sz="0" w:space="0" w:color="auto"/>
        <w:bottom w:val="none" w:sz="0" w:space="0" w:color="auto"/>
        <w:right w:val="none" w:sz="0" w:space="0" w:color="auto"/>
      </w:divBdr>
    </w:div>
    <w:div w:id="161921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13F0C-EC81-4187-A1D5-F48B8820B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3027</TotalTime>
  <Pages>5</Pages>
  <Words>1954</Words>
  <Characters>11141</Characters>
  <Application>Microsoft Office Word</Application>
  <DocSecurity>0</DocSecurity>
  <Lines>92</Lines>
  <Paragraphs>26</Paragraphs>
  <ScaleCrop>false</ScaleCrop>
  <Company/>
  <LinksUpToDate>false</LinksUpToDate>
  <CharactersWithSpaces>13069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Lenovo</cp:lastModifiedBy>
  <cp:revision>505</cp:revision>
  <dcterms:created xsi:type="dcterms:W3CDTF">2021-01-15T02:11:00Z</dcterms:created>
  <dcterms:modified xsi:type="dcterms:W3CDTF">2022-08-09T08:15:00Z</dcterms:modified>
</cp:coreProperties>
</file>